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4B" w:rsidRDefault="00216FFE">
      <w:pPr>
        <w:pStyle w:val="Pagedecouverture"/>
        <w:rPr>
          <w:noProof/>
        </w:rPr>
      </w:pPr>
      <w:bookmarkStart w:id="0" w:name="LW_BM_COVERPAGE"/>
      <w:bookmarkStart w:id="1" w:name="_GoBack"/>
      <w:bookmarkEnd w:id="1"/>
      <w:r>
        <w:rPr>
          <w:noProof/>
          <w:lang w:eastAsia="sk-SK"/>
        </w:rPr>
        <w:drawing>
          <wp:inline distT="0" distB="0" distL="0" distR="0">
            <wp:extent cx="5715000" cy="4067175"/>
            <wp:effectExtent l="0" t="0" r="0" b="9525"/>
            <wp:docPr id="1" name="Obrázok 1" descr="47D905F7-2D13-4247-AF67-184DEDC0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D905F7-2D13-4247-AF67-184DEDC03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A404B" w:rsidRDefault="008A404B">
      <w:pPr>
        <w:rPr>
          <w:noProof/>
        </w:rPr>
        <w:sectPr w:rsidR="008A40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134" w:left="1417" w:header="709" w:footer="709" w:gutter="0"/>
          <w:pgNumType w:start="2"/>
          <w:cols w:space="720"/>
          <w:docGrid w:linePitch="360"/>
        </w:sectPr>
      </w:pPr>
    </w:p>
    <w:p w:rsidR="008A404B" w:rsidRDefault="00D72FC1">
      <w:pPr>
        <w:pStyle w:val="Hlavikaobsahu"/>
        <w:rPr>
          <w:noProof/>
        </w:rPr>
      </w:pPr>
      <w:r>
        <w:rPr>
          <w:noProof/>
        </w:rPr>
        <w:lastRenderedPageBreak/>
        <w:t>Obsah</w:t>
      </w:r>
    </w:p>
    <w:p w:rsidR="008A404B" w:rsidRDefault="00D72FC1">
      <w:pPr>
        <w:pStyle w:val="Obsah1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\h \z \u </w:instrText>
      </w:r>
      <w:r>
        <w:rPr>
          <w:noProof/>
        </w:rPr>
        <w:fldChar w:fldCharType="separate"/>
      </w:r>
      <w:hyperlink w:anchor="_Toc500315371" w:history="1">
        <w:r>
          <w:rPr>
            <w:noProof/>
          </w:rPr>
          <w:t>1. 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1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2" w:history="1">
        <w:r>
          <w:rPr>
            <w:rStyle w:val="Hypertextovprepojenie"/>
            <w:noProof/>
          </w:rPr>
          <w:t>2. Nariadenie o E-PRTR: súčasný 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3" w:history="1">
        <w:r>
          <w:rPr>
            <w:rStyle w:val="Hypertextovprepojenie"/>
            <w:i/>
            <w:noProof/>
          </w:rPr>
          <w:t>2.1 Webová lokalita E-PRTR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4" w:history="1">
        <w:r>
          <w:rPr>
            <w:rStyle w:val="Hypertextovprepojenie"/>
            <w:i/>
            <w:noProof/>
          </w:rPr>
          <w:t>2.2 Usmernenie Komisie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5" w:history="1">
        <w:r>
          <w:rPr>
            <w:rStyle w:val="Hypertextovprepojenie"/>
            <w:i/>
            <w:noProof/>
          </w:rPr>
          <w:t>2.3 Vykonávanie zo strany členských štátov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6" w:history="1">
        <w:r>
          <w:rPr>
            <w:rStyle w:val="Hypertextovprepojenie"/>
            <w:i/>
            <w:noProof/>
          </w:rPr>
          <w:t>2.4 Sankcie a pokuty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1"/>
        <w:rPr>
          <w:noProof/>
        </w:rPr>
      </w:pPr>
      <w:hyperlink w:anchor="_Toc500315377" w:history="1">
        <w:r>
          <w:rPr>
            <w:noProof/>
          </w:rPr>
          <w:t>3. Hodnotenie REFIT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8" w:history="1">
        <w:r>
          <w:rPr>
            <w:rStyle w:val="Hypertextovprepojenie"/>
            <w:i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lang w:val="en-GB"/>
          </w:rPr>
          <w:tab/>
        </w:r>
        <w:r>
          <w:rPr>
            <w:rStyle w:val="Hypertextovprepojenie"/>
            <w:i/>
            <w:noProof/>
          </w:rPr>
          <w:t>Rozsah hodnotenia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79" w:history="1">
        <w:r>
          <w:rPr>
            <w:rStyle w:val="Hypertextovprepojenie"/>
            <w:i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lang w:val="en-GB"/>
          </w:rPr>
          <w:tab/>
        </w:r>
        <w:r>
          <w:rPr>
            <w:rStyle w:val="Hypertextovprepojenie"/>
            <w:i/>
            <w:noProof/>
          </w:rPr>
          <w:t>Výsledky hodnotenia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1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80" w:history="1">
        <w:r>
          <w:rPr>
            <w:rStyle w:val="Hypertextovprepojenie"/>
            <w:noProof/>
          </w:rPr>
          <w:t>4. Možné zlepšenia E-PRTR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81" w:history="1">
        <w:r>
          <w:rPr>
            <w:rStyle w:val="Hypertextovprepojenie"/>
            <w:i/>
            <w:noProof/>
          </w:rPr>
          <w:t>4.1 Opatrenia vyplývajúce zo správy o vykonávaní z roku 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2"/>
        <w:rPr>
          <w:rFonts w:asciiTheme="minorHAnsi" w:eastAsiaTheme="minorEastAsia" w:hAnsiTheme="minorHAnsi" w:cstheme="minorBidi"/>
          <w:noProof/>
          <w:sz w:val="22"/>
          <w:lang w:val="en-GB"/>
        </w:rPr>
      </w:pPr>
      <w:hyperlink w:anchor="_Toc500315382" w:history="1">
        <w:r>
          <w:rPr>
            <w:rStyle w:val="Hypertextovprepojenie"/>
            <w:i/>
            <w:noProof/>
          </w:rPr>
          <w:t>4.2 Činnosti vyplývajúce z nedávneho hodnotenia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_Toc500315382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404B" w:rsidRDefault="00D72FC1">
      <w:pPr>
        <w:pStyle w:val="Obsah1"/>
        <w:rPr>
          <w:noProof/>
          <w:lang w:val="en-GB"/>
        </w:rPr>
      </w:pPr>
      <w:hyperlink w:anchor="_Toc500315383" w:history="1">
        <w:r>
          <w:rPr>
            <w:noProof/>
            <w:lang w:val="en-GB"/>
          </w:rPr>
          <w:t>5. Záver</w:t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tab/>
        </w:r>
        <w:r>
          <w:rPr>
            <w:noProof/>
            <w:webHidden/>
            <w:lang w:val="en-GB"/>
          </w:rPr>
          <w:fldChar w:fldCharType="begin"/>
        </w:r>
        <w:r>
          <w:rPr>
            <w:noProof/>
            <w:webHidden/>
            <w:lang w:val="en-GB"/>
          </w:rPr>
          <w:instrText xml:space="preserve"> PAGEREF _Toc500315383 \h </w:instrText>
        </w:r>
        <w:r>
          <w:rPr>
            <w:noProof/>
            <w:webHidden/>
            <w:lang w:val="en-GB"/>
          </w:rPr>
        </w:r>
        <w:r>
          <w:rPr>
            <w:noProof/>
            <w:webHidden/>
            <w:lang w:val="en-GB"/>
          </w:rPr>
          <w:fldChar w:fldCharType="separate"/>
        </w:r>
        <w:r>
          <w:rPr>
            <w:noProof/>
            <w:webHidden/>
            <w:lang w:val="en-GB"/>
          </w:rPr>
          <w:t>10</w:t>
        </w:r>
        <w:r>
          <w:rPr>
            <w:noProof/>
            <w:webHidden/>
            <w:lang w:val="en-GB"/>
          </w:rPr>
          <w:fldChar w:fldCharType="end"/>
        </w:r>
      </w:hyperlink>
    </w:p>
    <w:p w:rsidR="008A404B" w:rsidRDefault="00D72FC1">
      <w:pPr>
        <w:rPr>
          <w:noProof/>
        </w:rPr>
      </w:pPr>
      <w:r>
        <w:rPr>
          <w:noProof/>
        </w:rPr>
        <w:fldChar w:fldCharType="end"/>
      </w:r>
    </w:p>
    <w:p w:rsidR="008A404B" w:rsidRDefault="008A404B">
      <w:pPr>
        <w:rPr>
          <w:noProof/>
        </w:rPr>
      </w:pPr>
    </w:p>
    <w:p w:rsidR="008A404B" w:rsidRDefault="008A404B">
      <w:pPr>
        <w:rPr>
          <w:noProof/>
        </w:rPr>
      </w:pPr>
    </w:p>
    <w:p w:rsidR="008A404B" w:rsidRDefault="008A404B">
      <w:pPr>
        <w:rPr>
          <w:noProof/>
        </w:rPr>
      </w:pPr>
    </w:p>
    <w:p w:rsidR="008A404B" w:rsidRDefault="008A404B">
      <w:pPr>
        <w:rPr>
          <w:noProof/>
        </w:rPr>
      </w:pPr>
    </w:p>
    <w:p w:rsidR="008A404B" w:rsidRDefault="008A404B">
      <w:pPr>
        <w:rPr>
          <w:noProof/>
        </w:rPr>
      </w:pPr>
    </w:p>
    <w:p w:rsidR="008A404B" w:rsidRDefault="00D72FC1">
      <w:pPr>
        <w:tabs>
          <w:tab w:val="left" w:pos="2690"/>
        </w:tabs>
        <w:rPr>
          <w:noProof/>
        </w:rPr>
      </w:pPr>
      <w:r>
        <w:rPr>
          <w:noProof/>
        </w:rPr>
        <w:tab/>
      </w: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D72FC1">
      <w:pPr>
        <w:pStyle w:val="Nadpis1"/>
        <w:numPr>
          <w:ilvl w:val="0"/>
          <w:numId w:val="0"/>
        </w:numPr>
        <w:rPr>
          <w:noProof/>
        </w:rPr>
      </w:pPr>
      <w:bookmarkStart w:id="2" w:name="_Toc500315371"/>
      <w:r>
        <w:rPr>
          <w:noProof/>
        </w:rPr>
        <w:lastRenderedPageBreak/>
        <w:t>1. Úvod</w:t>
      </w:r>
      <w:bookmarkEnd w:id="2"/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 xml:space="preserve">Európsky register uvoľňovania a prenosov znečisťujúcich látok (ďalej len „E-PRTR“) obsahuje kvalitné environmentálne informácie o emisiách z najväčších európskych priemyselných zariadení.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Verejnosť, zainteresované strany, analytici, tvorcovia politík a ro</w:t>
      </w:r>
      <w:r>
        <w:rPr>
          <w:noProof/>
        </w:rPr>
        <w:t>zhodovacie orgány v Európskej únii si tieto informácie veľmi cenia, keďže ich používajú na stanovovanie priorít pre nákladovo efektívne stratégie znižovania emisií, na meranie pokroku pri znižovaní znečistenia a na ovplyvňovanie prevádzkovateľov s cieľom p</w:t>
      </w:r>
      <w:r>
        <w:rPr>
          <w:noProof/>
        </w:rPr>
        <w:t>rijať postupy a techniky šetrné k životnému prostrediu.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Register E-PRTR bol zriadený nariadením (ES) č. 166/2006</w:t>
      </w:r>
      <w:r>
        <w:rPr>
          <w:rStyle w:val="Odkaznapoznmkupodiarou"/>
          <w:noProof/>
        </w:rPr>
        <w:footnoteReference w:id="1"/>
      </w:r>
      <w:r>
        <w:rPr>
          <w:noProof/>
        </w:rPr>
        <w:t>, pričom v EÚ sa ním vykonáva Kyjevský protokol k Aarhuskému dohovoru o registroch uvoľňovania a prenosov znečisťujúcich látok</w:t>
      </w:r>
      <w:r>
        <w:rPr>
          <w:rStyle w:val="Odkaznapoznmkupodiarou"/>
          <w:noProof/>
        </w:rPr>
        <w:footnoteReference w:id="2"/>
      </w:r>
      <w:r>
        <w:rPr>
          <w:noProof/>
        </w:rPr>
        <w:t>. Vychádza prito</w:t>
      </w:r>
      <w:r>
        <w:rPr>
          <w:noProof/>
        </w:rPr>
        <w:t xml:space="preserve">m z existujúceho Európskeho registra emisií znečisťujúcich látok (EPER), ktorý bol zriadený v roku 2000.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 xml:space="preserve">V článku 17 nariadenia o E-PRTR sa uvádza, že Komisia musí preskúmať výkazy členských štátov o emisiách poskytnuté podľa článku 7 a ďalšie informácie </w:t>
      </w:r>
      <w:r>
        <w:rPr>
          <w:noProof/>
        </w:rPr>
        <w:t>predložené podľa článku 16.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Prvá správa podľa článku 17</w:t>
      </w:r>
      <w:r>
        <w:rPr>
          <w:rStyle w:val="Odkaznapoznmkupodiarou"/>
          <w:noProof/>
        </w:rPr>
        <w:footnoteReference w:id="3"/>
      </w:r>
      <w:r>
        <w:rPr>
          <w:noProof/>
        </w:rPr>
        <w:t xml:space="preserve"> bola Európskemu parlamentu a Rade predložená v roku 2013. V správe sa posudzovali prvé tri roky fungovania E-PRTR: 2007, 2008 a 2009. Táto druhá správa sa týka ďalších štyroch rokov: 2010, 2011, 2012</w:t>
      </w:r>
      <w:r>
        <w:rPr>
          <w:noProof/>
        </w:rPr>
        <w:t xml:space="preserve"> a 2013.</w:t>
      </w:r>
    </w:p>
    <w:p w:rsidR="008A404B" w:rsidRDefault="00D72FC1">
      <w:pPr>
        <w:pStyle w:val="Text1"/>
        <w:ind w:left="0"/>
        <w:rPr>
          <w:noProof/>
          <w:color w:val="000000"/>
        </w:rPr>
      </w:pPr>
      <w:r>
        <w:rPr>
          <w:noProof/>
        </w:rPr>
        <w:t>Nariadenie o E-PRTR bolo vybraté aj na hodnotenie v rámci Programu regulačnej vhodnosti a efektívnosti</w:t>
      </w:r>
      <w:r>
        <w:rPr>
          <w:noProof/>
          <w:color w:val="000000"/>
        </w:rPr>
        <w:t xml:space="preserve"> (REFIT) Európskej komisie</w:t>
      </w:r>
      <w:r>
        <w:rPr>
          <w:noProof/>
          <w:color w:val="000000"/>
          <w:vertAlign w:val="superscript"/>
        </w:rPr>
        <w:footnoteReference w:id="4"/>
      </w:r>
      <w:r>
        <w:rPr>
          <w:noProof/>
          <w:color w:val="000000"/>
        </w:rPr>
        <w:t xml:space="preserve">, a to s cieľom overiť, či je „vhodné na svoj účel“. Cieľom tohto hodnotenia bolo posúdiť jeho efektívnosť, účinnosť, </w:t>
      </w:r>
      <w:r>
        <w:rPr>
          <w:noProof/>
          <w:color w:val="000000"/>
        </w:rPr>
        <w:t>relevantnosť, súdržnosť a pridanú hodnotu EÚ. Posúdenie sa týkalo prínosov E-PRTR, ako aj možnosti jeho zjednodušenia a zníženia regulačných nákladov a zaťaženia.</w:t>
      </w:r>
    </w:p>
    <w:p w:rsidR="008A404B" w:rsidRDefault="00D72FC1">
      <w:pPr>
        <w:pStyle w:val="Text1"/>
        <w:ind w:left="0"/>
        <w:rPr>
          <w:noProof/>
          <w:color w:val="000000"/>
        </w:rPr>
      </w:pPr>
      <w:r>
        <w:rPr>
          <w:noProof/>
        </w:rPr>
        <w:t xml:space="preserve">Spolu s hodnotením </w:t>
      </w:r>
      <w:r>
        <w:rPr>
          <w:noProof/>
          <w:color w:val="000000"/>
        </w:rPr>
        <w:t>E-PRTR</w:t>
      </w:r>
      <w:r>
        <w:rPr>
          <w:noProof/>
        </w:rPr>
        <w:t xml:space="preserve"> GR pre životné prostredie vykonalo kontrolu vhodnosti širších monit</w:t>
      </w:r>
      <w:r>
        <w:rPr>
          <w:noProof/>
        </w:rPr>
        <w:t>orovacích a oznamovacích povinností vyplývajúcich zo všetkých právnych predpisov EÚ v oblasti životného prostredia</w:t>
      </w:r>
      <w:r>
        <w:rPr>
          <w:rStyle w:val="Odkaznapoznmkupodiarou"/>
          <w:noProof/>
        </w:rPr>
        <w:footnoteReference w:id="5"/>
      </w:r>
      <w:r>
        <w:rPr>
          <w:noProof/>
        </w:rPr>
        <w:t>. Z tohto paralelného procesu hodnotenia vyplynuli synergické účinky.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Táto správa sa preto týka troch hlavných oblastí:</w:t>
      </w:r>
    </w:p>
    <w:p w:rsidR="008A404B" w:rsidRDefault="00D72FC1">
      <w:pPr>
        <w:pStyle w:val="Text1"/>
        <w:numPr>
          <w:ilvl w:val="0"/>
          <w:numId w:val="2"/>
        </w:numPr>
        <w:spacing w:before="0"/>
        <w:rPr>
          <w:noProof/>
        </w:rPr>
      </w:pPr>
      <w:r>
        <w:rPr>
          <w:noProof/>
        </w:rPr>
        <w:t>prehľadu o vykonávaní</w:t>
      </w:r>
      <w:r>
        <w:rPr>
          <w:noProof/>
        </w:rPr>
        <w:t xml:space="preserve"> E-PRTR a o tom, ako sa zmenilo od správy Európskemu parlamentu a Rade z roku 2013 – oddiel 2,</w:t>
      </w:r>
    </w:p>
    <w:p w:rsidR="008A404B" w:rsidRDefault="00D72FC1">
      <w:pPr>
        <w:pStyle w:val="Text1"/>
        <w:numPr>
          <w:ilvl w:val="0"/>
          <w:numId w:val="2"/>
        </w:numPr>
        <w:spacing w:before="0"/>
        <w:rPr>
          <w:noProof/>
        </w:rPr>
      </w:pPr>
      <w:r>
        <w:rPr>
          <w:noProof/>
        </w:rPr>
        <w:t>zhrnutia hodnotenia REFIT – oddiel 3,</w:t>
      </w:r>
    </w:p>
    <w:p w:rsidR="008A404B" w:rsidRDefault="00D72FC1">
      <w:pPr>
        <w:pStyle w:val="Text1"/>
        <w:numPr>
          <w:ilvl w:val="0"/>
          <w:numId w:val="2"/>
        </w:numPr>
        <w:spacing w:before="0"/>
        <w:rPr>
          <w:noProof/>
        </w:rPr>
      </w:pPr>
      <w:r>
        <w:rPr>
          <w:noProof/>
        </w:rPr>
        <w:t>posúdenia možných zlepšení E-PRTR – oddiel 4.</w:t>
      </w:r>
    </w:p>
    <w:p w:rsidR="008A404B" w:rsidRDefault="008A404B">
      <w:pPr>
        <w:pStyle w:val="Text1"/>
        <w:spacing w:before="0"/>
        <w:ind w:left="720"/>
        <w:rPr>
          <w:noProof/>
        </w:rPr>
      </w:pPr>
    </w:p>
    <w:p w:rsidR="008A404B" w:rsidRDefault="00D72FC1">
      <w:pPr>
        <w:pStyle w:val="Nadpis1"/>
        <w:numPr>
          <w:ilvl w:val="0"/>
          <w:numId w:val="0"/>
        </w:numPr>
        <w:rPr>
          <w:noProof/>
        </w:rPr>
      </w:pPr>
      <w:bookmarkStart w:id="3" w:name="DQCNUMB_2"/>
      <w:bookmarkStart w:id="4" w:name="_Toc346793347"/>
      <w:bookmarkStart w:id="5" w:name="_Toc500315372"/>
      <w:bookmarkEnd w:id="3"/>
      <w:r>
        <w:rPr>
          <w:noProof/>
        </w:rPr>
        <w:t xml:space="preserve">2. </w:t>
      </w:r>
      <w:bookmarkEnd w:id="4"/>
      <w:r>
        <w:rPr>
          <w:noProof/>
        </w:rPr>
        <w:t>Nariadenie o E-PRTR: súčasný stav</w:t>
      </w:r>
      <w:bookmarkEnd w:id="5"/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 xml:space="preserve">Vykonávanie nariadenia o E-PRTR závisí </w:t>
      </w:r>
      <w:r>
        <w:rPr>
          <w:noProof/>
        </w:rPr>
        <w:t xml:space="preserve">od opatrení koordinovaných na úrovni EÚ prijatých Európskou komisiou a Európskou agentúrou pre životné prostredie (EEA) a od vnútroštátnych opatrení. </w:t>
      </w:r>
    </w:p>
    <w:p w:rsidR="008A404B" w:rsidRDefault="00D72FC1">
      <w:pPr>
        <w:pStyle w:val="Text1"/>
        <w:ind w:left="0"/>
        <w:rPr>
          <w:noProof/>
        </w:rPr>
      </w:pPr>
      <w:bookmarkStart w:id="6" w:name="_Toc346793348"/>
      <w:r>
        <w:rPr>
          <w:noProof/>
        </w:rPr>
        <w:t>Odpovede členských štátov na otázky týkajúce sa vykonávania podľa článku 16 sú k dispozícii v databáze EE</w:t>
      </w:r>
      <w:r>
        <w:rPr>
          <w:noProof/>
        </w:rPr>
        <w:t>A týkajúcej sa oznamovacích povinností</w:t>
      </w:r>
      <w:r>
        <w:rPr>
          <w:noProof/>
          <w:vertAlign w:val="superscript"/>
        </w:rPr>
        <w:footnoteReference w:id="6"/>
      </w:r>
      <w:r>
        <w:rPr>
          <w:noProof/>
        </w:rPr>
        <w:t>. Tieto odpovede sa analyzujú v podpornej štúdii k hodnoteniu E-PRTR</w:t>
      </w:r>
      <w:r>
        <w:rPr>
          <w:noProof/>
          <w:vertAlign w:val="superscript"/>
        </w:rPr>
        <w:footnoteReference w:id="7"/>
      </w:r>
      <w:r>
        <w:rPr>
          <w:noProof/>
        </w:rPr>
        <w:t>. V ďalšej časti sa uvádzajú kľúčové pripomienky týkajúce sa vykonávania nariadenia o E-PRTR.</w:t>
      </w:r>
    </w:p>
    <w:p w:rsidR="008A404B" w:rsidRDefault="00D72FC1">
      <w:pPr>
        <w:pStyle w:val="Nadpis2"/>
        <w:numPr>
          <w:ilvl w:val="0"/>
          <w:numId w:val="0"/>
        </w:numPr>
        <w:ind w:left="360"/>
        <w:rPr>
          <w:i/>
          <w:noProof/>
        </w:rPr>
      </w:pPr>
      <w:bookmarkStart w:id="7" w:name="_Toc500315373"/>
      <w:r>
        <w:rPr>
          <w:i/>
          <w:noProof/>
        </w:rPr>
        <w:t>2.1 Webová lokalita E-PRTR</w:t>
      </w:r>
      <w:bookmarkEnd w:id="6"/>
      <w:bookmarkEnd w:id="7"/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 xml:space="preserve">Od začiatku prijímania </w:t>
      </w:r>
      <w:r>
        <w:rPr>
          <w:noProof/>
        </w:rPr>
        <w:t>údajov od členských štátov v roku 2007 sa webová lokalita E-PRTR stala hlavným zdrojom informácií o ročných emisiách z hlavných priemyselných činností v Európe. Tieto environmentálne informácie sa zverejňujú bezplatne na interaktívnej webovej lokalite</w:t>
      </w:r>
      <w:r>
        <w:rPr>
          <w:rStyle w:val="Odkaznapoznmkupodiarou"/>
          <w:noProof/>
        </w:rPr>
        <w:footnoteReference w:id="8"/>
      </w:r>
      <w:r>
        <w:rPr>
          <w:noProof/>
        </w:rPr>
        <w:t>, kt</w:t>
      </w:r>
      <w:r>
        <w:rPr>
          <w:noProof/>
        </w:rPr>
        <w:t>orú hosťuje a spravuje EEA.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Údaje o kľúčových znečisťujúcich látkach, ktoré sa uchovávajú v E-PRTR, poskytujú prevádzkovatelia približne 30 000 priemyselných zariadení. Zahŕňajú 65 hospodárskych činností v hlavných priemyselných odvetviach</w:t>
      </w:r>
      <w:r>
        <w:rPr>
          <w:rStyle w:val="Odkaznapoznmkupodiarou"/>
          <w:noProof/>
        </w:rPr>
        <w:footnoteReference w:id="9"/>
      </w:r>
      <w:r>
        <w:rPr>
          <w:noProof/>
        </w:rPr>
        <w:t xml:space="preserve"> vymedzených v n</w:t>
      </w:r>
      <w:r>
        <w:rPr>
          <w:noProof/>
        </w:rPr>
        <w:t>ariadení. Tieto priemyselné odvetvia sú úzko (hoci nie presne) zosúladené so zoznamom činností regulovaných smernicou o priemyselných emisiách</w:t>
      </w:r>
      <w:r>
        <w:rPr>
          <w:rStyle w:val="Odkaznapoznmkupodiarou"/>
          <w:noProof/>
        </w:rPr>
        <w:footnoteReference w:id="10"/>
      </w:r>
      <w:r>
        <w:rPr>
          <w:noProof/>
        </w:rPr>
        <w:t>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Prevádzkovatelia jednotlivých zariadení každoročne poskytujú informácie o množstve znečisťujúcich látok uvoľnen</w:t>
      </w:r>
      <w:r>
        <w:rPr>
          <w:noProof/>
        </w:rPr>
        <w:t>ých do ovzdušia, vody a pôdy spolu s prepravou odpadu a znečisťujúcich látok v odpadových vodách mimo lokality. Najlepšie dostupné údaje sa oznamujú do E-PRTR. Môžu pochádzať z meraní, výpočtov alebo odhadov a zahŕňajú všetky uvoľnenia – úmyselné, náhodné,</w:t>
      </w:r>
      <w:r>
        <w:rPr>
          <w:noProof/>
        </w:rPr>
        <w:t xml:space="preserve"> pravidelné alebo nepravidelné.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Emisné údaje sa týkajú 91 kľúčových znečisťujúcich látok vrátane ťažkých kovov, pesticídov, skleníkových plynov a dioxínov. S cieľom sústrediť sa na najväčšie zdroje emisií sa podávanie správ obmedzuje na zariadenia, v ktor</w:t>
      </w:r>
      <w:r>
        <w:rPr>
          <w:noProof/>
        </w:rPr>
        <w:t xml:space="preserve">ých boli prekročené prahové hodnoty emisií. </w:t>
      </w:r>
    </w:p>
    <w:p w:rsidR="008A404B" w:rsidRDefault="00D72FC1">
      <w:pPr>
        <w:pStyle w:val="Text1"/>
        <w:ind w:left="0"/>
        <w:rPr>
          <w:noProof/>
          <w:color w:val="000000"/>
        </w:rPr>
      </w:pPr>
      <w:r>
        <w:rPr>
          <w:noProof/>
        </w:rPr>
        <w:t>Okrem uvedených základných súborov údajov, ktoré sa týkajú hlavných bodových zdrojov znečistenia, E-PRTR obsahuje aj priestorovo rozčlenené údaje o uvoľňovaní z plošných (t. j. nebodových) zdrojov</w:t>
      </w:r>
      <w:r>
        <w:rPr>
          <w:noProof/>
          <w:color w:val="000000"/>
        </w:rPr>
        <w:t xml:space="preserve">.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Webová lokal</w:t>
      </w:r>
      <w:r>
        <w:rPr>
          <w:noProof/>
        </w:rPr>
        <w:t>ita E-PRTR a súvisiace vyhľadávacie nástroje boli navrhnuté tak, aby umožnili čo najjednoduchší prístup. Výsledkom je, že návštevníci webovej lokality E-PRTR sú početní (s priemerným počtom 242 pripojení denne) a takisto rôznorodí (vrátane verejných služie</w:t>
      </w:r>
      <w:r>
        <w:rPr>
          <w:noProof/>
        </w:rPr>
        <w:t xml:space="preserve">b, súkromných podnikov a širokej verejnosti). </w:t>
      </w:r>
    </w:p>
    <w:p w:rsidR="008A404B" w:rsidRDefault="00D72FC1">
      <w:pPr>
        <w:pStyle w:val="Nadpis2"/>
        <w:numPr>
          <w:ilvl w:val="0"/>
          <w:numId w:val="0"/>
        </w:numPr>
        <w:ind w:left="360"/>
        <w:rPr>
          <w:i/>
          <w:noProof/>
        </w:rPr>
      </w:pPr>
      <w:bookmarkStart w:id="8" w:name="DQCNUMB_4"/>
      <w:bookmarkStart w:id="9" w:name="_Toc346793350"/>
      <w:bookmarkStart w:id="10" w:name="_Toc500315374"/>
      <w:bookmarkEnd w:id="8"/>
      <w:r>
        <w:rPr>
          <w:i/>
          <w:noProof/>
        </w:rPr>
        <w:lastRenderedPageBreak/>
        <w:t>2.2 Usmernenie Komisie</w:t>
      </w:r>
      <w:bookmarkEnd w:id="9"/>
      <w:bookmarkEnd w:id="10"/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S cieľom pomôcť členským štátom dôsledne vykonávať systém E-PRTR Komisia v roku 2006 vydala usmerňovací dokument, v ktorom vysvetľuje, kto by mal správy podávať, čoho by sa mali týkať a </w:t>
      </w:r>
      <w:r>
        <w:rPr>
          <w:noProof/>
        </w:rPr>
        <w:t xml:space="preserve">ako by sa údaje mali predkladať. Obsahuje aj orientačný zoznam odvetví a znečisťujúcich látok, o ktorých by sa mali podávať správy. 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</w:rPr>
        <w:t>Hoci je toto usmernenie pre proces podávania správ mimoriadne užitočné, má už 11 rokov a nastal čas na jeho aktualizáciu. A</w:t>
      </w:r>
      <w:r>
        <w:rPr>
          <w:noProof/>
        </w:rPr>
        <w:t>ktualizácia by zahŕňala spresnenie otázok, ktoré sú už v dokumente obsiahnuté, a týkala by sa aj otázok vykonávania a skúseností nadobudnutých od jeho prvého uverejnenia.</w:t>
      </w:r>
    </w:p>
    <w:p w:rsidR="008A404B" w:rsidRDefault="00D72FC1">
      <w:pPr>
        <w:pStyle w:val="Nadpis2"/>
        <w:numPr>
          <w:ilvl w:val="0"/>
          <w:numId w:val="0"/>
        </w:numPr>
        <w:ind w:left="360"/>
        <w:rPr>
          <w:i/>
          <w:noProof/>
        </w:rPr>
      </w:pPr>
      <w:bookmarkStart w:id="11" w:name="DQCNUMB_5"/>
      <w:bookmarkStart w:id="12" w:name="_Toc500315375"/>
      <w:bookmarkEnd w:id="11"/>
      <w:r>
        <w:rPr>
          <w:i/>
          <w:noProof/>
        </w:rPr>
        <w:t>2.3 Vykonávanie zo strany členských štátov</w:t>
      </w:r>
      <w:bookmarkEnd w:id="12"/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Nariadenie o E-PRTR vykonávajú všetky člen</w:t>
      </w:r>
      <w:r>
        <w:rPr>
          <w:noProof/>
        </w:rPr>
        <w:t>ské štáty EÚ. Keďže nariadenie má význam pre Európsky hospodársky priestor, vykonáva sa aj v Nórsku, na Islande a v Lichtenštajnsku. K tomu treba pridať údaje, ktoré oznámili Švajčiarsko a Srbsko, čo znamená, že nariadenie má neočakávané, ale užitočné doda</w:t>
      </w:r>
      <w:r>
        <w:rPr>
          <w:noProof/>
        </w:rPr>
        <w:t>točné zemepisné pokrytie.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Všetky členské štáty predložili svoje údaje za roky 2010, 2011, 2012 a 2013. Komisia musela prijať následné opatrenia s cieľom dať určitým členským štátom podnet, aby predložili svoje údaje. Tieto jednotlivé prípady sa však vyrieš</w:t>
      </w:r>
      <w:r>
        <w:rPr>
          <w:noProof/>
        </w:rPr>
        <w:t xml:space="preserve">ili rýchlo a Komisia neiniciovala formálne konanie o nesplnení povinnosti. 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  <w:color w:val="000000"/>
        </w:rPr>
        <w:t>Vnútroštátne orgány sú zodpovedné za posúdenie kvality predložených údajov a skutočnosti, či sú informácie poskytované jednotlivými zariadeniami dostatočne úplné, konzistentné a pr</w:t>
      </w:r>
      <w:r>
        <w:rPr>
          <w:noProof/>
          <w:color w:val="000000"/>
        </w:rPr>
        <w:t>esné. Ako už bolo uvedené v predchádzajúcej správe o vykonávaní, vďaka postupom monitorovania</w:t>
      </w:r>
      <w:r>
        <w:rPr>
          <w:noProof/>
        </w:rPr>
        <w:t xml:space="preserve"> sa najkomplexnejšie oznamujú údaje o emisiách do ovzdušia. Údajov o prenose odpadu a uvoľneniach do pôdy je pomerne málo. 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</w:rPr>
        <w:t>Niekoľko členských štátov sa rozhodlo r</w:t>
      </w:r>
      <w:r>
        <w:rPr>
          <w:noProof/>
        </w:rPr>
        <w:t xml:space="preserve">ozšíriť zoznam látok, ktoré majú prevádzkovatelia oznamovať, a znížiť prahové hodnoty oznamovania. 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</w:rPr>
        <w:t>Problémy, s ktorými sa členské štáty stretli pri oznamovaní údajov do E-PRTR, sa najčastejšie týkajú informačných technológií a chýbajúcich znalostí prevádz</w:t>
      </w:r>
      <w:r>
        <w:rPr>
          <w:noProof/>
        </w:rPr>
        <w:t>kovateľov (v dôsledku čoho vznikajú chyby týkajúce sa vykazovaných látok a jednotiek). Ako príčina ťažkostí sa zdôrazňuje aj nesúlad medzi E-PRTR a smernicou o priemyselných emisiách, najmä pokiaľ ide o činnosti súvisiace s odpadovým hospodárstvom a skládk</w:t>
      </w:r>
      <w:r>
        <w:rPr>
          <w:noProof/>
        </w:rPr>
        <w:t>ami.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</w:rPr>
        <w:t xml:space="preserve">Väčšina členských štátov uvádza, že údaje do E-PRTR sa predkladajú elektronicky, pričom tri členské štáty výslovne neprijímajú údaje predkladané v tlačenej podobe. 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</w:rPr>
        <w:t>EEA vykonáva niekoľko kontrol na zabezpečenie kvality predkladaných údajov, a ak zistí</w:t>
      </w:r>
      <w:r>
        <w:rPr>
          <w:noProof/>
        </w:rPr>
        <w:t xml:space="preserve"> chybné údaje, členské štáty môžu vykonať opravy. Počas obdobia hodnotenia využili tento nástroj na opätovné predloženie údajov celkovo štyri členské štáty a vo všetkých prípadoch opravili chyby v štatistických jednotkách.</w:t>
      </w:r>
    </w:p>
    <w:p w:rsidR="008A404B" w:rsidRDefault="00D72FC1">
      <w:pPr>
        <w:pStyle w:val="Text1"/>
        <w:spacing w:before="0" w:after="240"/>
        <w:ind w:left="0"/>
        <w:rPr>
          <w:noProof/>
        </w:rPr>
      </w:pPr>
      <w:r>
        <w:rPr>
          <w:noProof/>
        </w:rPr>
        <w:t>Osem členských štátov uviedlo, že</w:t>
      </w:r>
      <w:r>
        <w:rPr>
          <w:noProof/>
        </w:rPr>
        <w:t xml:space="preserve"> na účel zadržania údajov z E-PRTR využili ustanovenia článku 11 týkajúce sa zachovania dôvernosti. </w:t>
      </w:r>
    </w:p>
    <w:p w:rsidR="008A404B" w:rsidRDefault="00D72FC1">
      <w:pPr>
        <w:pStyle w:val="Nadpis2"/>
        <w:numPr>
          <w:ilvl w:val="0"/>
          <w:numId w:val="0"/>
        </w:numPr>
        <w:ind w:left="360"/>
        <w:rPr>
          <w:i/>
          <w:noProof/>
        </w:rPr>
      </w:pPr>
      <w:bookmarkStart w:id="13" w:name="DQCNUMB_6"/>
      <w:bookmarkStart w:id="14" w:name="_Toc500315376"/>
      <w:bookmarkStart w:id="15" w:name="_Toc346793353"/>
      <w:bookmarkEnd w:id="13"/>
      <w:r>
        <w:rPr>
          <w:i/>
          <w:noProof/>
        </w:rPr>
        <w:lastRenderedPageBreak/>
        <w:t>2.4 Sankcie a pokuty</w:t>
      </w:r>
      <w:bookmarkEnd w:id="14"/>
    </w:p>
    <w:p w:rsidR="008A404B" w:rsidRDefault="00D72FC1">
      <w:pPr>
        <w:pStyle w:val="Text1"/>
        <w:spacing w:before="0" w:after="0"/>
        <w:ind w:left="0"/>
        <w:rPr>
          <w:noProof/>
        </w:rPr>
      </w:pPr>
      <w:r>
        <w:rPr>
          <w:noProof/>
        </w:rPr>
        <w:t>Podľa článku 20 nariadenia o E-PRTR musia členské štáty zaviesť pravidlá týkajúce sa sankcií v prípade porušení. Členské štáty podávaj</w:t>
      </w:r>
      <w:r>
        <w:rPr>
          <w:noProof/>
        </w:rPr>
        <w:t>ú správy o rozličných správnych a trestných konaniach so širokou škálou maximálnych pokút. Počas obdobia podávania správ sankcie skutočne uložilo päť členských štátov. Dva ďalšie uviedli, že začali konanie o nesplnení povinnosti proti prevádzkovateľom, kon</w:t>
      </w:r>
      <w:r>
        <w:rPr>
          <w:noProof/>
        </w:rPr>
        <w:t>ania však stiahli po predložení údajov. Z týchto dôkazov je zrejmé, že členské štáty zaviedli účinné sankcie a pokuty s cieľom zabezpečiť, aby príslušní prevádzkovatelia plnili svoje oznamovacie povinnosti v súvislosti s E-PRTR.</w:t>
      </w:r>
    </w:p>
    <w:p w:rsidR="008A404B" w:rsidRDefault="00D72FC1">
      <w:pPr>
        <w:pStyle w:val="Nadpis1"/>
        <w:numPr>
          <w:ilvl w:val="0"/>
          <w:numId w:val="0"/>
        </w:numPr>
        <w:rPr>
          <w:noProof/>
        </w:rPr>
      </w:pPr>
      <w:bookmarkStart w:id="16" w:name="DQCNUMB_7"/>
      <w:bookmarkStart w:id="17" w:name="_Toc500315377"/>
      <w:bookmarkEnd w:id="15"/>
      <w:bookmarkEnd w:id="16"/>
      <w:r>
        <w:rPr>
          <w:noProof/>
        </w:rPr>
        <w:t>3. Hodnotenie REFIT</w:t>
      </w:r>
      <w:bookmarkEnd w:id="17"/>
    </w:p>
    <w:p w:rsidR="008A404B" w:rsidRDefault="00D72F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 rámci</w:t>
      </w:r>
      <w:r>
        <w:rPr>
          <w:rFonts w:ascii="Times New Roman" w:hAnsi="Times New Roman"/>
          <w:noProof/>
          <w:sz w:val="24"/>
        </w:rPr>
        <w:t xml:space="preserve"> svojho programu REFIT Komisia vyhodnotila nariadenie o E-PRTR, pričom posúdila hlavné analytické otázky týkajúce sa efektívnosti, účinnosti, súdržnosti, relevantnosti a pridanej hodnoty EÚ. </w:t>
      </w:r>
    </w:p>
    <w:p w:rsidR="008A404B" w:rsidRDefault="008A4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D72FC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Na tento účel využila zdroje, ako sú napr. údaje členských štát</w:t>
      </w:r>
      <w:r>
        <w:rPr>
          <w:rFonts w:ascii="Times New Roman" w:hAnsi="Times New Roman"/>
          <w:noProof/>
          <w:sz w:val="24"/>
        </w:rPr>
        <w:t>ov o vykonávaní, konzultácie a seminár zainteresovaných strán. Okrem toho uzavrela zmluvu s externým poradcom na vykonanie podpornej štúdie a získanie konkrétnych informácií o kľúčových témach.</w:t>
      </w:r>
    </w:p>
    <w:p w:rsidR="008A404B" w:rsidRDefault="008A40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D72FC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Ďalšie údaje o hodnotení sa uvádzajú v pracovnom dokumente út</w:t>
      </w:r>
      <w:r>
        <w:rPr>
          <w:rFonts w:ascii="Times New Roman" w:hAnsi="Times New Roman"/>
          <w:noProof/>
          <w:sz w:val="24"/>
        </w:rPr>
        <w:t>varov Komisie</w:t>
      </w:r>
      <w:r>
        <w:rPr>
          <w:rStyle w:val="Odkaznapoznmkupodiarou"/>
          <w:rFonts w:ascii="Times New Roman" w:eastAsia="Times New Roman" w:hAnsi="Times New Roman" w:cs="Times New Roman"/>
          <w:noProof/>
          <w:sz w:val="24"/>
          <w:lang w:eastAsia="en-GB"/>
        </w:rPr>
        <w:footnoteReference w:id="11"/>
      </w:r>
      <w:r>
        <w:rPr>
          <w:rFonts w:ascii="Times New Roman" w:hAnsi="Times New Roman"/>
          <w:noProof/>
          <w:sz w:val="24"/>
        </w:rPr>
        <w:t>. V tejto správe sú zhrnuté hlavné zistenia z hodnotenia a podrobnejší pohľad na potrebné následné opatrenia.</w:t>
      </w:r>
    </w:p>
    <w:p w:rsidR="008A404B" w:rsidRDefault="008A404B">
      <w:pPr>
        <w:spacing w:after="0"/>
        <w:rPr>
          <w:rFonts w:ascii="Times New Roman" w:eastAsia="Times New Roman" w:hAnsi="Times New Roman" w:cs="Times New Roman"/>
          <w:b/>
          <w:noProof/>
          <w:sz w:val="24"/>
          <w:lang w:eastAsia="en-GB"/>
        </w:rPr>
      </w:pPr>
    </w:p>
    <w:p w:rsidR="008A404B" w:rsidRDefault="00D72FC1">
      <w:pPr>
        <w:pStyle w:val="Nadpis2"/>
        <w:numPr>
          <w:ilvl w:val="0"/>
          <w:numId w:val="16"/>
        </w:numPr>
        <w:rPr>
          <w:i/>
          <w:noProof/>
        </w:rPr>
      </w:pPr>
      <w:bookmarkStart w:id="18" w:name="_Toc500315378"/>
      <w:r>
        <w:rPr>
          <w:i/>
          <w:noProof/>
        </w:rPr>
        <w:t>Rozsah hodnotenia</w:t>
      </w:r>
      <w:bookmarkEnd w:id="18"/>
    </w:p>
    <w:p w:rsidR="008A404B" w:rsidRDefault="00D72FC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Vzhľadom na to, že členské štáty už majú priame oznamovacie povinnosti vyplývajúce z toho, že sú zmluvnými stranami alebo signatármi Kyjevského protokolu, hodnotenie sa zameralo na dodatočné povinnosti podľa nariadenia o E-PRTR: </w:t>
      </w:r>
    </w:p>
    <w:p w:rsidR="008A404B" w:rsidRDefault="008A404B">
      <w:pPr>
        <w:spacing w:after="0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D72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prevádzkovatelia oznamujú</w:t>
      </w:r>
      <w:r>
        <w:rPr>
          <w:rFonts w:ascii="Times New Roman" w:hAnsi="Times New Roman"/>
          <w:noProof/>
          <w:sz w:val="24"/>
        </w:rPr>
        <w:t>ci informácie o ďalších piatich látkach znečisťujúcich vodu a nižšie prahové hodnoty oznamovania pre emisie dioxínov a furánov,</w:t>
      </w:r>
    </w:p>
    <w:p w:rsidR="008A404B" w:rsidRDefault="00D72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každoročné oznamovanie údajov Komisii zo strany príslušných orgánov členských štátov,</w:t>
      </w:r>
    </w:p>
    <w:p w:rsidR="008A404B" w:rsidRDefault="00D72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začlenenie týchto údajov Komisiou (s podpo</w:t>
      </w:r>
      <w:r>
        <w:rPr>
          <w:rFonts w:ascii="Times New Roman" w:hAnsi="Times New Roman"/>
          <w:noProof/>
          <w:sz w:val="24"/>
        </w:rPr>
        <w:t>rou EEA) do verejne prístupného E-PRTR,</w:t>
      </w:r>
    </w:p>
    <w:p w:rsidR="008A404B" w:rsidRDefault="00D72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vypracovanie usmerňujúceho dokumentu Komisie s cieľom uľahčiť konzistentné postupy členských štátov, a</w:t>
      </w:r>
    </w:p>
    <w:p w:rsidR="008A404B" w:rsidRDefault="00D72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predkladanie správ Komisie o E-PRTR Európskemu parlamentu a Rade každé tri roky.</w:t>
      </w:r>
    </w:p>
    <w:p w:rsidR="008A404B" w:rsidRDefault="008A404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D72FC1">
      <w:pPr>
        <w:pStyle w:val="Nadpis2"/>
        <w:numPr>
          <w:ilvl w:val="0"/>
          <w:numId w:val="16"/>
        </w:numPr>
        <w:rPr>
          <w:b w:val="0"/>
          <w:bCs w:val="0"/>
          <w:i/>
          <w:noProof/>
        </w:rPr>
      </w:pPr>
      <w:bookmarkStart w:id="19" w:name="_Toc500315379"/>
      <w:r>
        <w:rPr>
          <w:i/>
          <w:noProof/>
        </w:rPr>
        <w:t>Výsledky hodnotenia</w:t>
      </w:r>
      <w:bookmarkEnd w:id="19"/>
    </w:p>
    <w:p w:rsidR="008A404B" w:rsidRDefault="00D72FC1">
      <w:pPr>
        <w:spacing w:after="160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Hodnotiace </w:t>
      </w:r>
      <w:r>
        <w:rPr>
          <w:rFonts w:ascii="Times New Roman" w:hAnsi="Times New Roman"/>
          <w:noProof/>
          <w:sz w:val="24"/>
        </w:rPr>
        <w:t>kritériá sa posudzujú takto:</w:t>
      </w:r>
    </w:p>
    <w:p w:rsidR="008A404B" w:rsidRDefault="00D72FC1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E-PRTR je </w:t>
      </w:r>
      <w:r>
        <w:rPr>
          <w:rFonts w:ascii="Times New Roman" w:hAnsi="Times New Roman"/>
          <w:b/>
          <w:noProof/>
          <w:sz w:val="24"/>
        </w:rPr>
        <w:t>účinným</w:t>
      </w:r>
      <w:r>
        <w:rPr>
          <w:rFonts w:ascii="Times New Roman" w:hAnsi="Times New Roman"/>
          <w:noProof/>
          <w:sz w:val="24"/>
        </w:rPr>
        <w:t xml:space="preserve"> nástrojom, pretože poskytuje vysoko komplexný a podrobný súbor údajov o priemyselných emisiách. Zainteresované strany vo všeobecnosti </w:t>
      </w:r>
      <w:r>
        <w:rPr>
          <w:rFonts w:ascii="Times New Roman" w:hAnsi="Times New Roman"/>
          <w:noProof/>
          <w:sz w:val="24"/>
        </w:rPr>
        <w:lastRenderedPageBreak/>
        <w:t>oceňujú prínos E-PRTR v oblasti prístupu k informáciám o životnom prostredí</w:t>
      </w:r>
      <w:r>
        <w:rPr>
          <w:rFonts w:ascii="Times New Roman" w:hAnsi="Times New Roman"/>
          <w:noProof/>
          <w:sz w:val="24"/>
        </w:rPr>
        <w:t xml:space="preserve">. Úplnosť a kvalita údajov v E-PRTR je dobrá a postupom času sa zlepšuje. Pokiaľ ide o výklad údajov, na oslovenie širšej verejnosti sú potrebné ďalšie informácie. </w:t>
      </w:r>
    </w:p>
    <w:p w:rsidR="008A404B" w:rsidRDefault="00D72FC1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Pokiaľ ide o </w:t>
      </w:r>
      <w:r>
        <w:rPr>
          <w:rFonts w:ascii="Times New Roman" w:hAnsi="Times New Roman"/>
          <w:b/>
          <w:bCs/>
          <w:noProof/>
          <w:sz w:val="24"/>
        </w:rPr>
        <w:t>účinnosť,</w:t>
      </w:r>
      <w:r>
        <w:rPr>
          <w:rFonts w:ascii="Times New Roman" w:hAnsi="Times New Roman"/>
          <w:noProof/>
          <w:sz w:val="24"/>
        </w:rPr>
        <w:t xml:space="preserve"> výkon E-PRTR bol veľmi dobrý. Väčšina poskytovateľov údajov uviedla,</w:t>
      </w:r>
      <w:r>
        <w:rPr>
          <w:rFonts w:ascii="Times New Roman" w:hAnsi="Times New Roman"/>
          <w:noProof/>
          <w:sz w:val="24"/>
        </w:rPr>
        <w:t xml:space="preserve"> že na splnenie požiadaviek na podávanie správ do E-PRTR, ktoré idú nad rámec Kyjevského protokolu, bolo potrebné minimálne úsilie; správcovia údajov uviedli, že takéto úsilie je úmerné významným výhodám vyplývajúcim z verejne prístupných údajov z E-PRTR. </w:t>
      </w:r>
      <w:r>
        <w:rPr>
          <w:rFonts w:ascii="Times New Roman" w:hAnsi="Times New Roman"/>
          <w:noProof/>
          <w:sz w:val="24"/>
        </w:rPr>
        <w:t>Napriek tomu sa zdá, že povinnosť členských štátov podávať správy o celkovom vykonávaní E-PRTR každé tri roky stanovená v článku 16 má obmedzené využitie, čo naznačuje priestor na zjednodušenie.</w:t>
      </w:r>
    </w:p>
    <w:p w:rsidR="008A404B" w:rsidRDefault="00D72FC1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Hoci je sám osebe konzistentný, vznikli isté obavy týkajúce s</w:t>
      </w:r>
      <w:r>
        <w:rPr>
          <w:rFonts w:ascii="Times New Roman" w:hAnsi="Times New Roman"/>
          <w:noProof/>
          <w:sz w:val="24"/>
        </w:rPr>
        <w:t xml:space="preserve">a </w:t>
      </w:r>
      <w:r>
        <w:rPr>
          <w:rFonts w:ascii="Times New Roman" w:hAnsi="Times New Roman"/>
          <w:b/>
          <w:bCs/>
          <w:noProof/>
          <w:sz w:val="24"/>
        </w:rPr>
        <w:t>súdržnosti</w:t>
      </w:r>
      <w:r>
        <w:rPr>
          <w:rFonts w:ascii="Times New Roman" w:hAnsi="Times New Roman"/>
          <w:noProof/>
          <w:sz w:val="24"/>
        </w:rPr>
        <w:t xml:space="preserve"> E-PRTR s údajmi vykázanými v súvisiacich právnych predpisoch v oblasti životného prostredia, ako je napríklad smernica o priemyselných emisiách a 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 o odpadoch.</w:t>
      </w:r>
    </w:p>
    <w:p w:rsidR="008A404B" w:rsidRDefault="00D72FC1">
      <w:pPr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E-PRTR je naďalej </w:t>
      </w:r>
      <w:r>
        <w:rPr>
          <w:rFonts w:ascii="Times New Roman" w:hAnsi="Times New Roman"/>
          <w:b/>
          <w:noProof/>
          <w:sz w:val="24"/>
        </w:rPr>
        <w:t>relevantný</w:t>
      </w:r>
      <w:r>
        <w:rPr>
          <w:rFonts w:ascii="Times New Roman" w:hAnsi="Times New Roman"/>
          <w:noProof/>
          <w:sz w:val="24"/>
        </w:rPr>
        <w:t>, pretože poskytuje podrobný a komplexný súbor úda</w:t>
      </w:r>
      <w:r>
        <w:rPr>
          <w:rFonts w:ascii="Times New Roman" w:hAnsi="Times New Roman"/>
          <w:noProof/>
          <w:sz w:val="24"/>
        </w:rPr>
        <w:t>jov, ku ktorému má široká verejnosť ľahký prístup. Vďaka tomu E-PRTR výrazne prispieva k transparentnosti a účasti verejnosti na rozhodovaní o životnom prostredí.</w:t>
      </w:r>
    </w:p>
    <w:p w:rsidR="008A404B" w:rsidRDefault="00D72F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E-PRTR predstavuje </w:t>
      </w:r>
      <w:r>
        <w:rPr>
          <w:rFonts w:ascii="Times New Roman" w:hAnsi="Times New Roman"/>
          <w:b/>
          <w:noProof/>
          <w:sz w:val="24"/>
        </w:rPr>
        <w:t>pridanú hodnotu</w:t>
      </w:r>
      <w:r>
        <w:rPr>
          <w:rFonts w:ascii="Times New Roman" w:hAnsi="Times New Roman"/>
          <w:noProof/>
          <w:sz w:val="24"/>
        </w:rPr>
        <w:t xml:space="preserve"> nad rámec požiadaviek Kyjevského protokolu, a to zabezpečením dôsledného vykonávania protokolu vo všetkých členských štátoch. Túto cezhraničnú konzistentnosť oceňujú používatelia E-PRTR, pretože zabezpečuje transparentnosť, pokiaľ ide o emisie znečisťujúc</w:t>
      </w:r>
      <w:r>
        <w:rPr>
          <w:rFonts w:ascii="Times New Roman" w:hAnsi="Times New Roman"/>
          <w:noProof/>
          <w:sz w:val="24"/>
        </w:rPr>
        <w:t>ich látok z priemyselných činností a umožňuje porovnávacie hodnotenie medzi členskými štátmi. Dobrým príkladom toho, ako sa údaje z E-PRTR používajú na zvýšenie hodnoty pre tvorcov politík, priemysel a širokú verejnosť, sú profily krajín EHP v oblasti prie</w:t>
      </w:r>
      <w:r>
        <w:rPr>
          <w:rFonts w:ascii="Times New Roman" w:hAnsi="Times New Roman"/>
          <w:noProof/>
          <w:sz w:val="24"/>
        </w:rPr>
        <w:t>myselného znečistenia</w:t>
      </w:r>
      <w:r>
        <w:rPr>
          <w:rStyle w:val="Odkaznapoznmkupodiarou"/>
          <w:noProof/>
        </w:rPr>
        <w:footnoteReference w:id="12"/>
      </w:r>
      <w:r>
        <w:rPr>
          <w:rFonts w:ascii="Times New Roman" w:hAnsi="Times New Roman"/>
          <w:noProof/>
          <w:sz w:val="24"/>
        </w:rPr>
        <w:t>.</w:t>
      </w:r>
    </w:p>
    <w:p w:rsidR="008A404B" w:rsidRDefault="008A40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D72FC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V hodnotení sa dospelo k záveru, že nariadenie o E-PRTR je dôležitým nástrojom </w:t>
      </w:r>
      <w:r>
        <w:rPr>
          <w:rFonts w:ascii="Times New Roman" w:hAnsi="Times New Roman"/>
          <w:i/>
          <w:noProof/>
          <w:sz w:val="24"/>
        </w:rPr>
        <w:t>acquis</w:t>
      </w:r>
      <w:r>
        <w:rPr>
          <w:rFonts w:ascii="Times New Roman" w:hAnsi="Times New Roman"/>
          <w:noProof/>
          <w:sz w:val="24"/>
        </w:rPr>
        <w:t xml:space="preserve"> EÚ v oblasti životného prostredia a že je vhodné na svoj účel.</w:t>
      </w:r>
    </w:p>
    <w:p w:rsidR="008A404B" w:rsidRDefault="008A404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8A404B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lang w:eastAsia="en-GB"/>
        </w:rPr>
      </w:pPr>
    </w:p>
    <w:p w:rsidR="008A404B" w:rsidRDefault="00D72FC1">
      <w:pPr>
        <w:pStyle w:val="Nadpis1"/>
        <w:numPr>
          <w:ilvl w:val="0"/>
          <w:numId w:val="0"/>
        </w:numPr>
        <w:spacing w:before="0"/>
        <w:rPr>
          <w:noProof/>
        </w:rPr>
      </w:pPr>
      <w:bookmarkStart w:id="20" w:name="DQCNUMB_8"/>
      <w:bookmarkStart w:id="21" w:name="_Toc346793357"/>
      <w:bookmarkStart w:id="22" w:name="_Toc500315380"/>
      <w:bookmarkEnd w:id="20"/>
      <w:r>
        <w:rPr>
          <w:noProof/>
        </w:rPr>
        <w:t>4. Možné zlepšenia E-PRTR</w:t>
      </w:r>
      <w:bookmarkEnd w:id="21"/>
      <w:bookmarkEnd w:id="22"/>
    </w:p>
    <w:p w:rsidR="008A404B" w:rsidRDefault="00D72FC1">
      <w:pPr>
        <w:pStyle w:val="Nadpis2"/>
        <w:numPr>
          <w:ilvl w:val="0"/>
          <w:numId w:val="0"/>
        </w:numPr>
        <w:ind w:left="720"/>
        <w:rPr>
          <w:i/>
          <w:noProof/>
        </w:rPr>
      </w:pPr>
      <w:bookmarkStart w:id="23" w:name="_Toc500315381"/>
      <w:r>
        <w:rPr>
          <w:i/>
          <w:noProof/>
        </w:rPr>
        <w:t>4.1 Opatrenia vyplývajúce zo správy o vykonávaní z rok</w:t>
      </w:r>
      <w:r>
        <w:rPr>
          <w:i/>
          <w:noProof/>
        </w:rPr>
        <w:t>u 2013</w:t>
      </w:r>
      <w:bookmarkEnd w:id="23"/>
      <w:r>
        <w:rPr>
          <w:i/>
          <w:noProof/>
        </w:rPr>
        <w:t xml:space="preserve">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V správe Komisie Európskemu parlamentu a Rade za rok 2013 sa dospelo k záveru, že nariadenie o E-PRTR sa vykonáva pomerne dobre, ale zistili sa oblasti, v ktorých sú možné zlepšenia. V nasledujúcich štyroch rokoch sa zaznamenali pretrvávajúce zlepš</w:t>
      </w:r>
      <w:r>
        <w:rPr>
          <w:noProof/>
        </w:rPr>
        <w:t>enia, najmä preto, že prevádzkovatelia, príslušné orgány a široká verejnosť nadobudli skúsenosti s používaním E-PRTR. Pri opätovnom preskúmaní troch hlavných oblastí zlepšenia identifikovaných v správe za rok 2013 je dôležité poznamenať toto:</w:t>
      </w:r>
    </w:p>
    <w:p w:rsidR="008A404B" w:rsidRDefault="00D72FC1">
      <w:pPr>
        <w:pStyle w:val="Text1"/>
        <w:rPr>
          <w:i/>
          <w:noProof/>
          <w:u w:val="single"/>
        </w:rPr>
      </w:pPr>
      <w:r>
        <w:rPr>
          <w:i/>
          <w:noProof/>
          <w:u w:val="single"/>
        </w:rPr>
        <w:t>a) Zvyšovanie</w:t>
      </w:r>
      <w:r>
        <w:rPr>
          <w:i/>
          <w:noProof/>
          <w:u w:val="single"/>
        </w:rPr>
        <w:t xml:space="preserve"> kvality údajov a dôvery používateľov:</w:t>
      </w:r>
    </w:p>
    <w:p w:rsidR="008A404B" w:rsidRDefault="00D72FC1">
      <w:pPr>
        <w:pStyle w:val="Text1"/>
        <w:rPr>
          <w:bCs/>
          <w:noProof/>
        </w:rPr>
      </w:pPr>
      <w:r>
        <w:rPr>
          <w:noProof/>
        </w:rPr>
        <w:t xml:space="preserve">Prevádzkovatelia a členské štáty majú podľa nariadenia povinnosť poskytovať do E-PRTR vysokokvalitné údaje. Hoci chyby sa príležitostne naďalej vyskytujú, údaje predložené Komisii sú teraz úplnejšie, konzistentnejšie </w:t>
      </w:r>
      <w:r>
        <w:rPr>
          <w:noProof/>
        </w:rPr>
        <w:t xml:space="preserve">a presnejšie, a to najmä </w:t>
      </w:r>
      <w:r>
        <w:rPr>
          <w:noProof/>
        </w:rPr>
        <w:lastRenderedPageBreak/>
        <w:t>vďaka zdokonaleným automatizovaným kontrolám v systéme podávania správ. Väčšina zostatkových chýb údajov sa zistí v rámci neformálneho preskúmania zo strany EEA a členské štáty môžu vykonať opravy prostredníctvom opätovného predlož</w:t>
      </w:r>
      <w:r>
        <w:rPr>
          <w:noProof/>
        </w:rPr>
        <w:t xml:space="preserve">enia údajov. </w:t>
      </w:r>
    </w:p>
    <w:p w:rsidR="008A404B" w:rsidRDefault="00D72FC1">
      <w:pPr>
        <w:pStyle w:val="Text1"/>
        <w:rPr>
          <w:bCs/>
          <w:noProof/>
        </w:rPr>
      </w:pPr>
      <w:r>
        <w:rPr>
          <w:noProof/>
        </w:rPr>
        <w:t>V správe za rok 2013 sa predpokladalo, že s cieľom zlepšiť kvalitu údajov sa proti členským štátom budú uplatňovať konania o nesplnení povinnosti, čo však nebolo potrebné.</w:t>
      </w:r>
    </w:p>
    <w:p w:rsidR="008A404B" w:rsidRDefault="00D72FC1">
      <w:pPr>
        <w:pStyle w:val="Text1"/>
        <w:rPr>
          <w:bCs/>
          <w:noProof/>
        </w:rPr>
      </w:pPr>
      <w:r>
        <w:rPr>
          <w:noProof/>
        </w:rPr>
        <w:t>Preskúmanie usmerňovacieho dokumentu o E-PRTR sa začalo.</w:t>
      </w:r>
    </w:p>
    <w:p w:rsidR="008A404B" w:rsidRDefault="00D72FC1">
      <w:pPr>
        <w:pStyle w:val="Text1"/>
        <w:rPr>
          <w:noProof/>
        </w:rPr>
      </w:pPr>
      <w:r>
        <w:rPr>
          <w:noProof/>
        </w:rPr>
        <w:t>Kvalita údajo</w:t>
      </w:r>
      <w:r>
        <w:rPr>
          <w:noProof/>
        </w:rPr>
        <w:t xml:space="preserve">v zostáva dôležitou oblasťou na ďalšie zlepšovanie, pretože spoľahlivejšie a kvalitnejšie údaje vytvárajú pozitívny kolobeh zvýšenej dôvery používateľov, čo zase prispieva k zvýšenému využívaniu údajov z E-PRTR. </w:t>
      </w:r>
    </w:p>
    <w:p w:rsidR="008A404B" w:rsidRDefault="00D72FC1">
      <w:pPr>
        <w:pStyle w:val="Text1"/>
        <w:spacing w:before="0" w:after="240"/>
        <w:rPr>
          <w:bCs/>
          <w:noProof/>
        </w:rPr>
      </w:pPr>
      <w:r>
        <w:rPr>
          <w:noProof/>
        </w:rPr>
        <w:t>V správe z roku 2013 sa takisto zdôraznilo,</w:t>
      </w:r>
      <w:r>
        <w:rPr>
          <w:noProof/>
        </w:rPr>
        <w:t xml:space="preserve"> že je potrebné, aby Komisia lepšie koordinovala E-PRTR s prácou expertných skupín pre iné súvisiace politiky životného prostredia. Pokiaľ ide o zlepšenie emisných faktorov pri uvoľňovaní do vody, bola nadviazaná spolupráca s pracovnou skupinou pre chemick</w:t>
      </w:r>
      <w:r>
        <w:rPr>
          <w:noProof/>
        </w:rPr>
        <w:t>é aspekty rámcovej smernice o vode, a to prostredníctvom projektu o </w:t>
      </w:r>
      <w:r>
        <w:rPr>
          <w:i/>
          <w:noProof/>
        </w:rPr>
        <w:t xml:space="preserve">integrovanom modelovaní hodnotenia v rámci politiky EÚ v oblasti pitnej vody a morského prostredia. </w:t>
      </w:r>
    </w:p>
    <w:p w:rsidR="008A404B" w:rsidRDefault="00D72FC1">
      <w:pPr>
        <w:pStyle w:val="Text1"/>
        <w:rPr>
          <w:i/>
          <w:noProof/>
          <w:u w:val="single"/>
        </w:rPr>
      </w:pPr>
      <w:r>
        <w:rPr>
          <w:i/>
          <w:noProof/>
          <w:u w:val="single"/>
        </w:rPr>
        <w:t>b) Zlepšovanie využívania a výmeny údajov</w:t>
      </w:r>
    </w:p>
    <w:p w:rsidR="008A404B" w:rsidRDefault="00D72FC1">
      <w:pPr>
        <w:pStyle w:val="Text1"/>
        <w:rPr>
          <w:bCs/>
          <w:noProof/>
        </w:rPr>
      </w:pPr>
      <w:r>
        <w:rPr>
          <w:noProof/>
        </w:rPr>
        <w:t>V správe za rok 2013 sa ukázalo, že je potreb</w:t>
      </w:r>
      <w:r>
        <w:rPr>
          <w:noProof/>
        </w:rPr>
        <w:t>né, aby bola webová lokalita E-PRTR ľahšie použiteľná, a to najmä v týchto oblastiach: zlepšenie funkčnosti, funkcie navigácie a vyhľadávania, doplnenie technických informácií k predloženým údajom, štandardizovaná terminológia a odkazy na súbory údajov vyp</w:t>
      </w:r>
      <w:r>
        <w:rPr>
          <w:noProof/>
        </w:rPr>
        <w:t xml:space="preserve">lývajúce z iných oznamovacích povinností. V rámci prebiehajúceho procesu sa vykonali mnohé zlepšenia vrátane spustenia novej jednoducho použiteľnej webovej lokality v roku 2016. </w:t>
      </w:r>
    </w:p>
    <w:p w:rsidR="008A404B" w:rsidRDefault="00D72FC1">
      <w:pPr>
        <w:pStyle w:val="Text1"/>
        <w:rPr>
          <w:noProof/>
        </w:rPr>
      </w:pPr>
      <w:r>
        <w:rPr>
          <w:noProof/>
        </w:rPr>
        <w:t>Komisia takisto aktívne propagovala E-PRTR na účel vedeckých, technických a p</w:t>
      </w:r>
      <w:r>
        <w:rPr>
          <w:noProof/>
        </w:rPr>
        <w:t xml:space="preserve">olitických analýz a na verejné použitie. </w:t>
      </w:r>
    </w:p>
    <w:p w:rsidR="008A404B" w:rsidRDefault="00D72FC1">
      <w:pPr>
        <w:pStyle w:val="Text1"/>
        <w:rPr>
          <w:i/>
          <w:noProof/>
          <w:u w:val="single"/>
        </w:rPr>
      </w:pPr>
      <w:r>
        <w:rPr>
          <w:i/>
          <w:noProof/>
          <w:u w:val="single"/>
        </w:rPr>
        <w:t>c) Objasnenie nariadenia o E-PRTR a prepojenia s inými právnymi predpismi</w:t>
      </w:r>
    </w:p>
    <w:p w:rsidR="008A404B" w:rsidRDefault="00D72FC1">
      <w:pPr>
        <w:pStyle w:val="Text1"/>
        <w:rPr>
          <w:noProof/>
          <w:szCs w:val="20"/>
        </w:rPr>
      </w:pPr>
      <w:r>
        <w:rPr>
          <w:noProof/>
        </w:rPr>
        <w:t>Ako kľúčový zdroj priemyselných údajov o emisiách je E-PRTR v súlade s osvedčenými postupmi podporovanými v rámci 7. akčného plánu Komisie p</w:t>
      </w:r>
      <w:r>
        <w:rPr>
          <w:noProof/>
        </w:rPr>
        <w:t>re životné prostredie, t. j. zásadou spoločného systému environmentálnych informácií, ktorou je „vyrobiť raz, používať často“</w:t>
      </w:r>
      <w:r>
        <w:rPr>
          <w:i/>
          <w:noProof/>
          <w:szCs w:val="20"/>
        </w:rPr>
        <w:t>.</w:t>
      </w:r>
      <w:r>
        <w:rPr>
          <w:noProof/>
        </w:rPr>
        <w:t xml:space="preserve"> </w:t>
      </w:r>
    </w:p>
    <w:p w:rsidR="008A404B" w:rsidRDefault="00D72FC1">
      <w:pPr>
        <w:pStyle w:val="Text1"/>
        <w:rPr>
          <w:noProof/>
        </w:rPr>
      </w:pPr>
      <w:r>
        <w:rPr>
          <w:noProof/>
        </w:rPr>
        <w:t>Spoločný prístup k získavaniu a využívaniu dôsledných priestorových informácií v rámci iniciatívy Inspire</w:t>
      </w:r>
      <w:r>
        <w:rPr>
          <w:rStyle w:val="Odkaznapoznmkupodiarou"/>
          <w:noProof/>
        </w:rPr>
        <w:footnoteReference w:id="13"/>
      </w:r>
      <w:r>
        <w:rPr>
          <w:noProof/>
        </w:rPr>
        <w:t xml:space="preserve"> takisto predstavuje príležitosť zosúladiť údaje z E-PRTR so záväzkami vyplývajúcimi z príslušných právnych predpisov, najmä smernice o priemyselných emisiách a </w:t>
      </w:r>
      <w:r>
        <w:rPr>
          <w:i/>
          <w:noProof/>
          <w:szCs w:val="20"/>
        </w:rPr>
        <w:t>acquis</w:t>
      </w:r>
      <w:r>
        <w:rPr>
          <w:noProof/>
        </w:rPr>
        <w:t xml:space="preserve"> o odpadoch. </w:t>
      </w:r>
    </w:p>
    <w:p w:rsidR="008A404B" w:rsidRDefault="00D72FC1">
      <w:pPr>
        <w:pStyle w:val="Text1"/>
        <w:spacing w:before="0" w:after="240"/>
        <w:rPr>
          <w:noProof/>
        </w:rPr>
      </w:pPr>
      <w:r>
        <w:rPr>
          <w:noProof/>
        </w:rPr>
        <w:t>Využili sa príležitosti na ďalší rozvoj synergických účinkov medzi jednotli</w:t>
      </w:r>
      <w:r>
        <w:rPr>
          <w:noProof/>
        </w:rPr>
        <w:t xml:space="preserve">vými tokmi údajov, ako aj na zjednodušenie procesov: </w:t>
      </w:r>
    </w:p>
    <w:p w:rsidR="008A404B" w:rsidRDefault="00D72FC1">
      <w:pPr>
        <w:pStyle w:val="Text1"/>
        <w:numPr>
          <w:ilvl w:val="0"/>
          <w:numId w:val="7"/>
        </w:numPr>
        <w:spacing w:before="0" w:after="240"/>
        <w:ind w:left="1418" w:hanging="284"/>
        <w:rPr>
          <w:noProof/>
        </w:rPr>
      </w:pPr>
      <w:r>
        <w:rPr>
          <w:noProof/>
        </w:rPr>
        <w:lastRenderedPageBreak/>
        <w:t>IT infraštruktúra E-PRTR bude aktualizovaná s cieľom zahrnúť „register“ priemyselných zariadení. V súlade s požiadavkami iniciatívy Inspire sa tak harmonizujú informácie o bežných administratívnych para</w:t>
      </w:r>
      <w:r>
        <w:rPr>
          <w:noProof/>
        </w:rPr>
        <w:t>metroch, ako je meno prevádzkovateľa, jeho adresa a miesto. To podporí synergické účinky medzi súbormi údajov a E-PRTR. Napríklad súbory údajov podľa smernice o priemyselných emisiách budú prepojené a čiastočne integrované do E-PRTR,</w:t>
      </w:r>
    </w:p>
    <w:p w:rsidR="008A404B" w:rsidRDefault="00D72FC1">
      <w:pPr>
        <w:pStyle w:val="Text1"/>
        <w:numPr>
          <w:ilvl w:val="0"/>
          <w:numId w:val="7"/>
        </w:numPr>
        <w:spacing w:before="0" w:after="240"/>
        <w:ind w:left="1418" w:hanging="284"/>
        <w:rPr>
          <w:noProof/>
        </w:rPr>
      </w:pPr>
      <w:r>
        <w:rPr>
          <w:noProof/>
        </w:rPr>
        <w:t>navrhovaná revízia rám</w:t>
      </w:r>
      <w:r>
        <w:rPr>
          <w:noProof/>
        </w:rPr>
        <w:t>covej smernice o odpadoch</w:t>
      </w:r>
      <w:r>
        <w:rPr>
          <w:rStyle w:val="Odkaznapoznmkupodiarou"/>
          <w:noProof/>
        </w:rPr>
        <w:footnoteReference w:id="14"/>
      </w:r>
      <w:r>
        <w:rPr>
          <w:noProof/>
        </w:rPr>
        <w:t xml:space="preserve"> obsahuje ustanovenie, ktorým sa zabezpečuje, aby sa údaje o E-PRTR podľa potreby použili na zlepšenie informácií o vzniku odpadu a nakladaní s odpadmi na vnútroštátnej úrovni,</w:t>
      </w:r>
    </w:p>
    <w:p w:rsidR="008A404B" w:rsidRDefault="00D72FC1">
      <w:pPr>
        <w:pStyle w:val="Text1"/>
        <w:numPr>
          <w:ilvl w:val="0"/>
          <w:numId w:val="7"/>
        </w:numPr>
        <w:spacing w:before="0" w:after="240"/>
        <w:ind w:left="1418" w:hanging="284"/>
        <w:rPr>
          <w:noProof/>
        </w:rPr>
      </w:pPr>
      <w:r>
        <w:rPr>
          <w:noProof/>
        </w:rPr>
        <w:t>prebiehajú iniciatívy na lepšiu koordináciu podávania</w:t>
      </w:r>
      <w:r>
        <w:rPr>
          <w:noProof/>
        </w:rPr>
        <w:t xml:space="preserve"> správ v rámci E-PRTR a úzko súvisiacich smerníc o priemyselných emisiách, čistení komunálnych odpadových vôd</w:t>
      </w:r>
      <w:r>
        <w:rPr>
          <w:rStyle w:val="Odkaznapoznmkupodiarou"/>
          <w:noProof/>
        </w:rPr>
        <w:footnoteReference w:id="15"/>
      </w:r>
      <w:r>
        <w:rPr>
          <w:noProof/>
        </w:rPr>
        <w:t xml:space="preserve"> a národných emisných stropoch</w:t>
      </w:r>
      <w:r>
        <w:rPr>
          <w:rStyle w:val="Odkaznapoznmkupodiarou"/>
          <w:noProof/>
        </w:rPr>
        <w:footnoteReference w:id="16"/>
      </w:r>
      <w:r>
        <w:rPr>
          <w:noProof/>
        </w:rPr>
        <w:t>.</w:t>
      </w:r>
    </w:p>
    <w:p w:rsidR="008A404B" w:rsidRDefault="00D72FC1">
      <w:pPr>
        <w:pStyle w:val="Nadpis2"/>
        <w:numPr>
          <w:ilvl w:val="0"/>
          <w:numId w:val="0"/>
        </w:numPr>
        <w:ind w:left="720"/>
        <w:rPr>
          <w:i/>
          <w:noProof/>
        </w:rPr>
      </w:pPr>
      <w:bookmarkStart w:id="24" w:name="_Toc500315382"/>
      <w:r>
        <w:rPr>
          <w:i/>
          <w:noProof/>
        </w:rPr>
        <w:t>4.2 Činnosti vyplývajúce z nedávneho hodnotenia</w:t>
      </w:r>
      <w:bookmarkEnd w:id="24"/>
    </w:p>
    <w:p w:rsidR="008A404B" w:rsidRDefault="00D72FC1">
      <w:pPr>
        <w:pStyle w:val="Text1"/>
        <w:spacing w:before="0" w:after="0"/>
        <w:ind w:left="0"/>
        <w:rPr>
          <w:noProof/>
        </w:rPr>
      </w:pPr>
      <w:r>
        <w:rPr>
          <w:noProof/>
        </w:rPr>
        <w:t>Hodnotenie nariadenia E-PRTR bolo vykonané v čase, keď bol regist</w:t>
      </w:r>
      <w:r>
        <w:rPr>
          <w:noProof/>
        </w:rPr>
        <w:t>er funkčný približne desať rokov. Nezistila sa jasná potreba výrazného zjednodušenia alebo veľkých zlepšení existujúceho nariadenia; najmä preto, že zlepšenie fungovania E-PRTR je naďalej možné prostredníctvom posilneného vykonávania.</w:t>
      </w:r>
    </w:p>
    <w:p w:rsidR="008A404B" w:rsidRDefault="008A404B">
      <w:pPr>
        <w:pStyle w:val="Text1"/>
        <w:spacing w:before="0" w:after="0"/>
        <w:ind w:left="0"/>
        <w:rPr>
          <w:noProof/>
        </w:rPr>
      </w:pPr>
    </w:p>
    <w:p w:rsidR="008A404B" w:rsidRDefault="00D72FC1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>Dospelo sa k záveru,</w:t>
      </w:r>
      <w:r>
        <w:rPr>
          <w:rFonts w:ascii="Times New Roman" w:hAnsi="Times New Roman"/>
          <w:noProof/>
          <w:sz w:val="24"/>
          <w:szCs w:val="20"/>
        </w:rPr>
        <w:t xml:space="preserve"> že následné opatrenia vyplývajúce zo správy o vykonávaní E-PRTR za rok 2013 sú relevantné a mali by pokračovať a takisto, že existuje potenciál ďalšieho zdokonaľovania v týchto oblastiach:</w:t>
      </w:r>
    </w:p>
    <w:p w:rsidR="008A404B" w:rsidRDefault="00D72FC1">
      <w:pPr>
        <w:pStyle w:val="Text1"/>
        <w:numPr>
          <w:ilvl w:val="0"/>
          <w:numId w:val="6"/>
        </w:numPr>
        <w:rPr>
          <w:noProof/>
        </w:rPr>
      </w:pPr>
      <w:r>
        <w:rPr>
          <w:b/>
          <w:noProof/>
          <w:szCs w:val="20"/>
        </w:rPr>
        <w:t>Usmernenie:</w:t>
      </w:r>
      <w:r>
        <w:rPr>
          <w:noProof/>
        </w:rPr>
        <w:t xml:space="preserve"> členské štáty sa zhodujú na osvedčených postupoch. Ďal</w:t>
      </w:r>
      <w:r>
        <w:rPr>
          <w:noProof/>
        </w:rPr>
        <w:t>šie zisky v oblasti dôsledného vykonávania by však mohli vyplynúť z aktualizácie existujúceho usmernenia na úrovni EÚ z roku 2006, odkedy sa vyskytli mnohé problémy s vykonávaním. Ako súčasť pracovného programu Komisie na rok 2017 sa preto začala revízia u</w:t>
      </w:r>
      <w:r>
        <w:rPr>
          <w:noProof/>
        </w:rPr>
        <w:t>smerňovacieho dokumentu o E-PRTR. Objasnia sa v nej také otázky, ako je rozsah pôsobnosti nariadenia, vymedzenia činností, emisné faktory a prvky podávania správ, ktoré možno považovať za dôverné.</w:t>
      </w:r>
    </w:p>
    <w:p w:rsidR="008A404B" w:rsidRDefault="00D72FC1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noProof/>
          <w:sz w:val="24"/>
          <w:szCs w:val="20"/>
        </w:rPr>
        <w:t>Súvisiace podávanie správ: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0"/>
        </w:rPr>
        <w:t>v správe za rok 2013 sa už dosia</w:t>
      </w:r>
      <w:r>
        <w:rPr>
          <w:rFonts w:ascii="Times New Roman" w:hAnsi="Times New Roman"/>
          <w:noProof/>
          <w:sz w:val="24"/>
          <w:szCs w:val="20"/>
        </w:rPr>
        <w:t>hla ďalšia harmonizácia s úzko súvisiacimi oznamovacími povinnosťami v oblasti životného prostredia ako prostriedku na zvýšenie efektívnosti a konzistentnosti E-PRTR. Ako už bolo vysvetlené, v rámci súčasných iniciatív sa snažia preskúmať možnosti zosúlade</w:t>
      </w:r>
      <w:r>
        <w:rPr>
          <w:rFonts w:ascii="Times New Roman" w:hAnsi="Times New Roman"/>
          <w:noProof/>
          <w:sz w:val="24"/>
          <w:szCs w:val="20"/>
        </w:rPr>
        <w:t xml:space="preserve">nia oznamovacích povinností s E-PRTR. Komisia sa pri vykonávaní a preskúmaní súvisiacich právnych predpisov bude v budúcnosti snažiť ďalej využívať synergické účinky s cieľom znížiť zaťaženie súvisiace s podávaním správ a zlepšiť konzistentnosť v súboroch </w:t>
      </w:r>
      <w:r>
        <w:rPr>
          <w:rFonts w:ascii="Times New Roman" w:hAnsi="Times New Roman"/>
          <w:noProof/>
          <w:sz w:val="24"/>
          <w:szCs w:val="20"/>
        </w:rPr>
        <w:t>údajov.</w:t>
      </w:r>
      <w:r>
        <w:rPr>
          <w:rFonts w:ascii="Times New Roman" w:hAnsi="Times New Roman"/>
          <w:noProof/>
        </w:rPr>
        <w:t xml:space="preserve"> </w:t>
      </w:r>
    </w:p>
    <w:p w:rsidR="008A404B" w:rsidRDefault="00D72FC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</w:rPr>
        <w:lastRenderedPageBreak/>
        <w:t>Článok 16:</w:t>
      </w:r>
      <w:r>
        <w:rPr>
          <w:noProof/>
        </w:rPr>
        <w:t xml:space="preserve"> </w:t>
      </w:r>
      <w:r>
        <w:rPr>
          <w:rFonts w:ascii="Times New Roman" w:hAnsi="Times New Roman"/>
          <w:noProof/>
          <w:sz w:val="24"/>
          <w:szCs w:val="20"/>
        </w:rPr>
        <w:t>členské štáty majú povinnosť každé tri roky predkladať správy o svojich postupoch a opatreniach v rámci E-PRTR. Komisia tieto informácie použije na vypracovanie správy Európskemu parlamentu a Rade podľa článku 17. Údaje poskytované na z</w:t>
      </w:r>
      <w:r>
        <w:rPr>
          <w:rFonts w:ascii="Times New Roman" w:hAnsi="Times New Roman"/>
          <w:noProof/>
          <w:sz w:val="24"/>
          <w:szCs w:val="20"/>
        </w:rPr>
        <w:t>áklade článku 16 sú vysokokvalitatívne a opakujú sa. Signatári Kyjevského protokolu sú navyše už teraz povinní predkladať EHK OSN podobné údaje o vykonávaní Kyjevského protokolu</w:t>
      </w:r>
      <w:r>
        <w:rPr>
          <w:rStyle w:val="Odkaznapoznmkupodiarou"/>
          <w:rFonts w:ascii="Times New Roman" w:hAnsi="Times New Roman" w:cs="Times New Roman"/>
          <w:noProof/>
        </w:rPr>
        <w:footnoteReference w:id="17"/>
      </w:r>
      <w:r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  <w:noProof/>
          <w:sz w:val="24"/>
          <w:szCs w:val="20"/>
        </w:rPr>
        <w:t>Existujú silné dôvody na označenie článkov 16 a 17 nariadenia o E-PRTR za za</w:t>
      </w:r>
      <w:r>
        <w:rPr>
          <w:rFonts w:ascii="Times New Roman" w:hAnsi="Times New Roman"/>
          <w:noProof/>
          <w:sz w:val="24"/>
          <w:szCs w:val="20"/>
        </w:rPr>
        <w:t>starané. V rámci opatrení nadväzujúcich na kontrolu vhodnosti horizontálneho podávania správ preto Komisia navrhuje zrušiť povinnosť členských štátov každé tri roky podávať správu podľa článku 16 a súvisiace preskúmanie zo strany Komisie podľa článku 17. T</w:t>
      </w:r>
      <w:r>
        <w:rPr>
          <w:rFonts w:ascii="Times New Roman" w:hAnsi="Times New Roman"/>
          <w:noProof/>
          <w:sz w:val="24"/>
          <w:szCs w:val="20"/>
        </w:rPr>
        <w:t xml:space="preserve">ým by sa nevylučovalo pravidelné plnohodnotnejšie hodnotenie nariadenia. </w:t>
      </w:r>
    </w:p>
    <w:p w:rsidR="008A404B" w:rsidRDefault="00D72FC1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b/>
          <w:bCs/>
          <w:noProof/>
          <w:sz w:val="24"/>
          <w:szCs w:val="20"/>
        </w:rPr>
        <w:t>Kontext údajov:</w:t>
      </w:r>
      <w:r>
        <w:rPr>
          <w:rFonts w:ascii="Times New Roman" w:hAnsi="Times New Roman"/>
          <w:noProof/>
          <w:sz w:val="24"/>
          <w:szCs w:val="20"/>
        </w:rPr>
        <w:t xml:space="preserve"> doplnením existujúceho E-PRTR o ďalšie kontextové informácie by sa výrazne zvýšila jeho účinnosť ako komplexného zdroja informácií o životnom prostredí. Ďalší kontext</w:t>
      </w:r>
      <w:r>
        <w:rPr>
          <w:rFonts w:ascii="Times New Roman" w:hAnsi="Times New Roman"/>
          <w:noProof/>
          <w:sz w:val="24"/>
          <w:szCs w:val="20"/>
        </w:rPr>
        <w:t xml:space="preserve"> by mohli poskytnúť také opatrenia, ako je zvýšenie podrobnosti opisov činností vrátane kvantitatívnych údajov o činnostiach a lepšieho vysvetlenia možných vplyvov uvedených uvoľnení na zdravie a životné prostredie, ako aj lepšie označenie prístupu k ďalší</w:t>
      </w:r>
      <w:r>
        <w:rPr>
          <w:rFonts w:ascii="Times New Roman" w:hAnsi="Times New Roman"/>
          <w:noProof/>
          <w:sz w:val="24"/>
          <w:szCs w:val="20"/>
        </w:rPr>
        <w:t>m informáciám o kvalite ovzdušia a vody.</w:t>
      </w:r>
    </w:p>
    <w:p w:rsidR="008A404B" w:rsidRDefault="00D72FC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w:t xml:space="preserve"> </w:t>
      </w:r>
    </w:p>
    <w:p w:rsidR="008A404B" w:rsidRDefault="00D72FC1">
      <w:pPr>
        <w:pStyle w:val="Nadpis1"/>
        <w:numPr>
          <w:ilvl w:val="0"/>
          <w:numId w:val="0"/>
        </w:numPr>
        <w:rPr>
          <w:noProof/>
        </w:rPr>
      </w:pPr>
      <w:bookmarkStart w:id="25" w:name="DQCNUMB_10"/>
      <w:bookmarkStart w:id="26" w:name="_Toc346793361"/>
      <w:bookmarkStart w:id="27" w:name="_Toc500315383"/>
      <w:bookmarkEnd w:id="25"/>
      <w:r>
        <w:rPr>
          <w:noProof/>
        </w:rPr>
        <w:t>5. Záver</w:t>
      </w:r>
      <w:bookmarkEnd w:id="26"/>
      <w:bookmarkEnd w:id="27"/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E-PRTR je dôležitou a kľúčovou zložkou vedomostnej základne o emisiách z priemyselných činností v Európe.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Ľahko prístupné a vysokokvalitné údaje dostupné na webovej lokalite E-PRTR poskytujú verejnosti informácie, ktoré výrazne zvyšujú schopnosť verejnosti zapojiť sa do širšieho rozhodovania o životnom prostredí. Pre celý rad ďalších používateľov vrátane analy</w:t>
      </w:r>
      <w:r>
        <w:rPr>
          <w:noProof/>
        </w:rPr>
        <w:t xml:space="preserve">tikov a tvorcov politík E-PRTR navyše zostáva hlavným referenčným bodom pre kľúčové environmentálne fakty o rozsiahlych priemyselných činnostiach.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 xml:space="preserve">Komisia sa domnieva, že nariadenie o E-PRTR sa vykonáva dobre a mnohé z problémov identifikovaných v správe </w:t>
      </w:r>
      <w:r>
        <w:rPr>
          <w:noProof/>
        </w:rPr>
        <w:t xml:space="preserve">pre Európsky parlament a Radu za rok 2013 boli vyriešené. </w:t>
      </w:r>
    </w:p>
    <w:p w:rsidR="008A404B" w:rsidRDefault="00D72FC1">
      <w:pPr>
        <w:pStyle w:val="Text1"/>
        <w:ind w:left="0"/>
        <w:rPr>
          <w:noProof/>
        </w:rPr>
      </w:pPr>
      <w:r>
        <w:rPr>
          <w:noProof/>
        </w:rPr>
        <w:t>Nevyhnutne zostáva priestor na ďalšie zlepšenie E-PRTR a v tejto správe sa identifikuje niekoľko oblastí, ktoré bude Komisia sledovať, a to najmä:</w:t>
      </w:r>
    </w:p>
    <w:p w:rsidR="008A404B" w:rsidRDefault="00D72FC1">
      <w:pPr>
        <w:pStyle w:val="Text1"/>
        <w:numPr>
          <w:ilvl w:val="0"/>
          <w:numId w:val="5"/>
        </w:numPr>
        <w:rPr>
          <w:noProof/>
        </w:rPr>
      </w:pPr>
      <w:r>
        <w:rPr>
          <w:noProof/>
        </w:rPr>
        <w:t>revízia existujúceho usmerňujúceho dokumentu s cie</w:t>
      </w:r>
      <w:r>
        <w:rPr>
          <w:noProof/>
        </w:rPr>
        <w:t xml:space="preserve">ľom pomôcť členským štátom pri dôslednom vykonávaní, </w:t>
      </w:r>
    </w:p>
    <w:p w:rsidR="008A404B" w:rsidRDefault="00D72FC1">
      <w:pPr>
        <w:pStyle w:val="Text1"/>
        <w:numPr>
          <w:ilvl w:val="0"/>
          <w:numId w:val="5"/>
        </w:numPr>
        <w:rPr>
          <w:noProof/>
        </w:rPr>
      </w:pPr>
      <w:r>
        <w:rPr>
          <w:noProof/>
        </w:rPr>
        <w:t>lepšie zosúladenie oznamovacích povinností prostredníctvom ďalšieho využívania synergických účinkov so súvisiacimi právnymi predpismi v oblasti životného prostredia,</w:t>
      </w:r>
    </w:p>
    <w:p w:rsidR="008A404B" w:rsidRDefault="00D72FC1">
      <w:pPr>
        <w:pStyle w:val="Text1"/>
        <w:numPr>
          <w:ilvl w:val="0"/>
          <w:numId w:val="5"/>
        </w:numPr>
        <w:rPr>
          <w:noProof/>
        </w:rPr>
      </w:pPr>
      <w:r>
        <w:rPr>
          <w:noProof/>
        </w:rPr>
        <w:t>zníženie administratívneho zaťaženia</w:t>
      </w:r>
      <w:r>
        <w:rPr>
          <w:noProof/>
        </w:rPr>
        <w:t xml:space="preserve"> členských štátov, a</w:t>
      </w:r>
    </w:p>
    <w:p w:rsidR="008A404B" w:rsidRDefault="00D72FC1">
      <w:pPr>
        <w:pStyle w:val="Text1"/>
        <w:numPr>
          <w:ilvl w:val="0"/>
          <w:numId w:val="5"/>
        </w:numPr>
        <w:rPr>
          <w:noProof/>
        </w:rPr>
      </w:pPr>
      <w:r>
        <w:rPr>
          <w:noProof/>
        </w:rPr>
        <w:t>preskúmanie možností dodatočných kontextových informácií s cieľom zefektívnenia údajov o E-PRTR.</w:t>
      </w:r>
    </w:p>
    <w:p w:rsidR="008A404B" w:rsidRDefault="008A404B">
      <w:pPr>
        <w:pStyle w:val="Text1"/>
        <w:ind w:left="0"/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p w:rsidR="008A404B" w:rsidRDefault="008A404B">
      <w:pPr>
        <w:tabs>
          <w:tab w:val="left" w:pos="2690"/>
        </w:tabs>
        <w:rPr>
          <w:noProof/>
        </w:rPr>
      </w:pPr>
    </w:p>
    <w:sectPr w:rsidR="008A40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C1" w:rsidRDefault="00D72FC1">
      <w:pPr>
        <w:spacing w:after="0" w:line="240" w:lineRule="auto"/>
      </w:pPr>
      <w:r>
        <w:separator/>
      </w:r>
    </w:p>
  </w:endnote>
  <w:endnote w:type="continuationSeparator" w:id="0">
    <w:p w:rsidR="00D72FC1" w:rsidRDefault="00D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D72FC1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SK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309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04B" w:rsidRDefault="00D72FC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FFE">
          <w:rPr>
            <w:noProof/>
          </w:rPr>
          <w:t>2</w:t>
        </w:r>
        <w:r>
          <w:fldChar w:fldCharType="end"/>
        </w:r>
      </w:p>
    </w:sdtContent>
  </w:sdt>
  <w:p w:rsidR="008A404B" w:rsidRDefault="008A404B">
    <w:pPr>
      <w:pStyle w:val="Pt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C1" w:rsidRDefault="00D72FC1">
      <w:pPr>
        <w:spacing w:after="0" w:line="240" w:lineRule="auto"/>
      </w:pPr>
      <w:r>
        <w:separator/>
      </w:r>
    </w:p>
  </w:footnote>
  <w:footnote w:type="continuationSeparator" w:id="0">
    <w:p w:rsidR="00D72FC1" w:rsidRDefault="00D72FC1">
      <w:pPr>
        <w:spacing w:after="0" w:line="240" w:lineRule="auto"/>
      </w:pPr>
      <w:r>
        <w:continuationSeparator/>
      </w:r>
    </w:p>
  </w:footnote>
  <w:footnote w:id="1">
    <w:p w:rsidR="008A404B" w:rsidRDefault="00D72FC1">
      <w:pPr>
        <w:pStyle w:val="doc-ti"/>
        <w:spacing w:before="0" w:beforeAutospacing="0" w:after="0" w:afterAutospacing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sz w:val="20"/>
          <w:szCs w:val="20"/>
        </w:rPr>
        <w:t>Nariadenie Európskeho parlamentu a Rady (ES) č. 166/2006 z 18. januára 2006 o zriadení Európs</w:t>
      </w:r>
      <w:r>
        <w:rPr>
          <w:sz w:val="20"/>
          <w:szCs w:val="20"/>
        </w:rPr>
        <w:t xml:space="preserve">keho registra uvoľňovania a prenosov znečisťujúcich látok, ktorým sa menia a dopĺňajú smernice Rady 91/689/EHS a 96/61/ES </w:t>
      </w:r>
      <w:hyperlink r:id="rId1" w:history="1">
        <w:r>
          <w:rPr>
            <w:rStyle w:val="Hypertextovprepojenie"/>
            <w:sz w:val="20"/>
            <w:szCs w:val="20"/>
          </w:rPr>
          <w:t>http://eur-lex.europa.eu/legal-conten</w:t>
        </w:r>
        <w:r>
          <w:rPr>
            <w:rStyle w:val="Hypertextovprepojenie"/>
            <w:sz w:val="20"/>
            <w:szCs w:val="20"/>
          </w:rPr>
          <w:t>t/SK/TXT/HTML/?uri=CELEX:32006R0166&amp;from=SK</w:t>
        </w:r>
      </w:hyperlink>
      <w:r>
        <w:rPr>
          <w:rStyle w:val="Hypertextovprepojenie"/>
          <w:sz w:val="20"/>
          <w:szCs w:val="20"/>
        </w:rPr>
        <w:t>.</w:t>
      </w:r>
    </w:p>
  </w:footnote>
  <w:footnote w:id="2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>
        <w:rPr>
          <w:rFonts w:ascii="Open Sans" w:hAnsi="Open Sans"/>
          <w:color w:val="4C4845"/>
        </w:rPr>
        <w:t>Kyjevský protokol o registroch únikov a prenosov znečisťujúcich látok k</w:t>
      </w:r>
      <w:r>
        <w:t xml:space="preserve"> Dohovoru EHK OSN o prístupe k informáciám, účasti verejnosti na rozhodovacom procese a prístupe k spravodlivosti v záležitostiach životného prostredia </w:t>
      </w:r>
      <w:hyperlink r:id="rId2" w:history="1">
        <w:r>
          <w:rPr>
            <w:rStyle w:val="Hypertextovprepojenie"/>
          </w:rPr>
          <w:t>https://www.unece.org/env/pp/prtr/d</w:t>
        </w:r>
        <w:r>
          <w:rPr>
            <w:rStyle w:val="Hypertextovprepojenie"/>
          </w:rPr>
          <w:t>ocs/prtrtext.html</w:t>
        </w:r>
      </w:hyperlink>
      <w:r>
        <w:rPr>
          <w:rStyle w:val="Hypertextovprepojenie"/>
        </w:rPr>
        <w:t>.</w:t>
      </w:r>
    </w:p>
  </w:footnote>
  <w:footnote w:id="3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COM(2013) 111 final, Správa Komisie Európskemu parlamentu a Rade o pokroku pri vykonávaní nariadenia (ES) č. 166/2006 o zriadení Európskeho registra uvoľňovania a prenosov znečisťujúcich látok (E-PRTR) </w:t>
      </w:r>
      <w:hyperlink r:id="rId3" w:history="1">
        <w:r>
          <w:rPr>
            <w:rStyle w:val="Hypertextovprepojenie"/>
          </w:rPr>
          <w:t>http://eur-lex.europa.eu/procedure/SK/202443</w:t>
        </w:r>
      </w:hyperlink>
      <w:r>
        <w:t>.</w:t>
      </w:r>
    </w:p>
  </w:footnote>
  <w:footnote w:id="4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COM(2012) 746 final, Oznámenie Komisie o vhodnosti právnych predpisov EÚ, </w:t>
      </w:r>
      <w:hyperlink r:id="rId4" w:history="1">
        <w:r>
          <w:rPr>
            <w:rStyle w:val="Hypertextovprepojenie"/>
          </w:rPr>
          <w:t>http://ec</w:t>
        </w:r>
        <w:r>
          <w:rPr>
            <w:rStyle w:val="Hypertextovprepojenie"/>
          </w:rPr>
          <w:t>.europa.eu/smart-regulation/better_regulation/documents/com_2013_en.pdf</w:t>
        </w:r>
      </w:hyperlink>
      <w:r>
        <w:rPr>
          <w:rStyle w:val="Hypertextovprepojenie"/>
        </w:rPr>
        <w:t>.</w:t>
      </w:r>
    </w:p>
  </w:footnote>
  <w:footnote w:id="5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5" w:history="1">
        <w:r>
          <w:rPr>
            <w:rStyle w:val="Hypertextovprepojenie"/>
          </w:rPr>
          <w:t>https://webgate.ec.europa.eu/fpfis/wikis/display/ENVReporting/1%29+Streamlini</w:t>
        </w:r>
        <w:r>
          <w:rPr>
            <w:rStyle w:val="Hypertextovprepojenie"/>
          </w:rPr>
          <w:t>ng+Reporting</w:t>
        </w:r>
      </w:hyperlink>
      <w:r>
        <w:t xml:space="preserve"> </w:t>
      </w:r>
    </w:p>
  </w:footnote>
  <w:footnote w:id="6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6" w:history="1">
        <w:r>
          <w:rPr>
            <w:rStyle w:val="Hypertextovprepojenie"/>
          </w:rPr>
          <w:t>http://rod.eionet.europa.eu/obligations/540/overview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7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rPr>
          <w:color w:val="000000"/>
        </w:rPr>
        <w:t xml:space="preserve"> Oddiel 3.2 a dodatok D</w:t>
      </w:r>
      <w:r>
        <w:t xml:space="preserve"> </w:t>
      </w:r>
      <w:hyperlink r:id="rId7" w:history="1">
        <w:r>
          <w:rPr>
            <w:color w:val="0000FF"/>
            <w:u w:val="single"/>
          </w:rPr>
          <w:t>https://circabc.europa.eu/sd/a/fd585562-0c60-48f0-ad62-9d1ff7151059/E-PRTR%20evaluation_Final%20report%20.pdf</w:t>
        </w:r>
      </w:hyperlink>
      <w:r>
        <w:rPr>
          <w:color w:val="0000FF"/>
          <w:u w:val="single"/>
        </w:rPr>
        <w:t xml:space="preserve">. </w:t>
      </w:r>
    </w:p>
  </w:footnote>
  <w:footnote w:id="8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8" w:history="1">
        <w:r>
          <w:rPr>
            <w:rStyle w:val="Hypertextovprepojenie"/>
          </w:rPr>
          <w:t>http://prtr.ec.europa.eu/</w:t>
        </w:r>
      </w:hyperlink>
      <w:r>
        <w:rPr>
          <w:rStyle w:val="Hypertextovprepojenie"/>
        </w:rPr>
        <w:t>.</w:t>
      </w:r>
    </w:p>
  </w:footnote>
  <w:footnote w:id="9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rPr>
          <w:color w:val="000000"/>
        </w:rPr>
        <w:t xml:space="preserve"> Energetika; výroba a spracovanie kovov; priemysel spracovania nerastov; chemický priemysel; odpadové hospodárstvo a nakladanie s odpadovými vodami; výroba a spracovanie papiera a dreva; intenzívna živočíšna</w:t>
      </w:r>
      <w:r>
        <w:rPr>
          <w:color w:val="000000"/>
        </w:rPr>
        <w:t xml:space="preserve"> výroba a akvakultúra; živočíšne a rastlinné výrobky z potravinárskeho a nápojového sektora</w:t>
      </w:r>
      <w:r>
        <w:t xml:space="preserve">; </w:t>
      </w:r>
      <w:r>
        <w:rPr>
          <w:color w:val="000000"/>
        </w:rPr>
        <w:t>iné.</w:t>
      </w:r>
    </w:p>
  </w:footnote>
  <w:footnote w:id="10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rPr>
          <w:bCs/>
          <w:color w:val="000000"/>
        </w:rPr>
        <w:t xml:space="preserve"> Smernica Európskeho parlamentu a Rady 2010/75/EÚ z 24.</w:t>
      </w:r>
      <w:r>
        <w:t> </w:t>
      </w:r>
      <w:r>
        <w:rPr>
          <w:bCs/>
          <w:color w:val="000000"/>
        </w:rPr>
        <w:t>novembra 2010 o priemyselných emisiách</w:t>
      </w:r>
      <w:hyperlink r:id="rId9" w:history="1">
        <w:r>
          <w:rPr>
            <w:rStyle w:val="Hypertextovprepojenie"/>
          </w:rPr>
          <w:t>http://eur-lex.europa.eu/legal-content/SK/TXT/?qid=1489681035236&amp;uri=CELEX:32010L0075</w:t>
        </w:r>
      </w:hyperlink>
      <w:r>
        <w:rPr>
          <w:rStyle w:val="Hypertextovprepojenie"/>
        </w:rPr>
        <w:t>.</w:t>
      </w:r>
    </w:p>
  </w:footnote>
  <w:footnote w:id="11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color w:val="000000"/>
        </w:rPr>
        <w:t>SWD(2017)710.</w:t>
      </w:r>
    </w:p>
  </w:footnote>
  <w:footnote w:id="12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0" w:history="1">
        <w:r>
          <w:rPr>
            <w:rStyle w:val="Hypertextovprepojenie"/>
          </w:rPr>
          <w:t>http://www.eea.europa.eu/themes/in</w:t>
        </w:r>
        <w:r>
          <w:rPr>
            <w:rStyle w:val="Hypertextovprepojenie"/>
          </w:rPr>
          <w:t>dustry/industrial-pollution</w:t>
        </w:r>
      </w:hyperlink>
      <w:r>
        <w:rPr>
          <w:rStyle w:val="Hypertextovprepojenie"/>
        </w:rPr>
        <w:t>.</w:t>
      </w:r>
      <w:r>
        <w:t xml:space="preserve"> </w:t>
      </w:r>
    </w:p>
  </w:footnote>
  <w:footnote w:id="13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Smernica 2007/2/ES, ktorou sa zriaďuje Infraštruktúra pre priestorové informácie v Európskom spoločenstve (Inspire) </w:t>
      </w:r>
      <w:hyperlink r:id="rId11" w:history="1">
        <w:r>
          <w:rPr>
            <w:color w:val="0000FF" w:themeColor="hyperlink"/>
            <w:u w:val="single"/>
          </w:rPr>
          <w:t>http://</w:t>
        </w:r>
        <w:r>
          <w:rPr>
            <w:color w:val="0000FF" w:themeColor="hyperlink"/>
            <w:u w:val="single"/>
          </w:rPr>
          <w:t>eur-lex.europa.eu/LexUriServ/LexUriServ.do?uri=OJ:L:2007:108:0001:0014:sk:PDF</w:t>
        </w:r>
      </w:hyperlink>
      <w:r>
        <w:rPr>
          <w:color w:val="0000FF" w:themeColor="hyperlink"/>
          <w:u w:val="single"/>
        </w:rPr>
        <w:t>.</w:t>
      </w:r>
    </w:p>
  </w:footnote>
  <w:footnote w:id="14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2" w:history="1">
        <w:r>
          <w:rPr>
            <w:rStyle w:val="Hypertextovprepojenie"/>
          </w:rPr>
          <w:t>http://eur-lex.europa.eu/legal-content/SK/TXT/?uri=CELEX:52015PC0595</w:t>
        </w:r>
      </w:hyperlink>
      <w:r>
        <w:t xml:space="preserve"> </w:t>
      </w:r>
    </w:p>
  </w:footnote>
  <w:footnote w:id="15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NewRomanBold" w:hAnsi="TimesNewRomanBold"/>
        </w:rPr>
        <w:t>Smernica 91/271/EH</w:t>
      </w:r>
      <w:r>
        <w:rPr>
          <w:rFonts w:ascii="TimesNewRomanBold" w:hAnsi="TimesNewRomanBold"/>
        </w:rPr>
        <w:t>S</w:t>
      </w:r>
      <w:r>
        <w:t xml:space="preserve"> </w:t>
      </w:r>
      <w:r>
        <w:rPr>
          <w:rFonts w:ascii="TimesNewRomanBold" w:hAnsi="TimesNewRomanBold" w:cs="TimesNewRomanBold"/>
        </w:rPr>
        <w:fldChar w:fldCharType="begin"/>
      </w:r>
      <w:r>
        <w:rPr>
          <w:rFonts w:ascii="TimesNewRomanBold" w:hAnsi="TimesNewRomanBold" w:cs="TimesNewRomanBold"/>
        </w:rPr>
        <w:instrText xml:space="preserve">http://eur-lex.europa.eu/legal-content/EN/ALL/?uri=CELEX%3A31991L0271 </w:instrText>
      </w:r>
      <w:r>
        <w:rPr>
          <w:rFonts w:ascii="TimesNewRomanBold" w:hAnsi="TimesNewRomanBold" w:cs="TimesNewRomanBold"/>
        </w:rPr>
        <w:fldChar w:fldCharType="separate"/>
      </w:r>
      <w:r>
        <w:rPr>
          <w:rFonts w:ascii="TimesNewRomanBold" w:hAnsi="TimesNewRomanBold" w:cs="TimesNewRomanBold"/>
        </w:rPr>
        <w:t>http://eur-lex.europa.eu/legal-content/EN/ALL/?uri=CELEX%3A31991L0271</w:t>
      </w:r>
      <w:r>
        <w:rPr>
          <w:rFonts w:ascii="TimesNewRomanBold" w:hAnsi="TimesNewRomanBold" w:cs="TimesNewRomanBold"/>
        </w:rPr>
        <w:fldChar w:fldCharType="end"/>
      </w:r>
      <w:r>
        <w:rPr>
          <w:rFonts w:ascii="TimesNewRomanBold" w:hAnsi="TimesNewRomanBold"/>
        </w:rPr>
        <w:t>o čistení komunálnych odpadových vôd</w:t>
      </w:r>
      <w:r>
        <w:t xml:space="preserve"> </w:t>
      </w:r>
      <w:hyperlink r:id="rId13" w:history="1">
        <w:r>
          <w:rPr>
            <w:rFonts w:ascii="TimesNewRomanBold" w:hAnsi="TimesNewRomanBold"/>
            <w:color w:val="0000FF"/>
            <w:u w:val="single"/>
          </w:rPr>
          <w:t>http://eur-lex.europa.eu/legal-content/SK/TXT/?uri=celex%3A31991L0271</w:t>
        </w:r>
      </w:hyperlink>
      <w:r>
        <w:rPr>
          <w:rFonts w:ascii="TimesNewRomanBold" w:hAnsi="TimesNewRomanBold"/>
          <w:color w:val="0000FF"/>
          <w:u w:val="single"/>
        </w:rPr>
        <w:t>.</w:t>
      </w:r>
    </w:p>
  </w:footnote>
  <w:footnote w:id="16">
    <w:p w:rsidR="008A404B" w:rsidRDefault="00D72FC1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Smernica (EÚ) 2016/2284 o znížení národných emisií určitých látok znečisťujúcich ovzdušie </w:t>
      </w:r>
      <w:hyperlink r:id="rId14" w:history="1">
        <w:r>
          <w:rPr>
            <w:bCs/>
            <w:color w:val="0000FF"/>
            <w:u w:val="single"/>
          </w:rPr>
          <w:t>http://eur-lex.europa.eu/legal-content/SK/TXT/?qid=1490193496651&amp;uri=CELEX:32016L2284</w:t>
        </w:r>
      </w:hyperlink>
      <w:r>
        <w:rPr>
          <w:bCs/>
          <w:color w:val="0000FF"/>
          <w:u w:val="single"/>
        </w:rPr>
        <w:t>.</w:t>
      </w:r>
    </w:p>
  </w:footnote>
  <w:footnote w:id="17">
    <w:p w:rsidR="008A404B" w:rsidRDefault="00D72FC1">
      <w:pPr>
        <w:pStyle w:val="Textpoznmkypodiarou"/>
      </w:pPr>
      <w:r>
        <w:rPr>
          <w:rStyle w:val="Odkaznapoznmkupodiarou"/>
        </w:rPr>
        <w:footnoteRef/>
      </w:r>
      <w:r>
        <w:t xml:space="preserve"> Pozri článok 17 ods.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4B" w:rsidRDefault="008A40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785"/>
    <w:multiLevelType w:val="hybridMultilevel"/>
    <w:tmpl w:val="3E2A2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4BB"/>
    <w:multiLevelType w:val="multilevel"/>
    <w:tmpl w:val="15FEF546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" w15:restartNumberingAfterBreak="0">
    <w:nsid w:val="19493E44"/>
    <w:multiLevelType w:val="hybridMultilevel"/>
    <w:tmpl w:val="D5A0018C"/>
    <w:lvl w:ilvl="0" w:tplc="9BC68A9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D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451E5"/>
    <w:multiLevelType w:val="hybridMultilevel"/>
    <w:tmpl w:val="59F0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C06AA"/>
    <w:multiLevelType w:val="hybridMultilevel"/>
    <w:tmpl w:val="B91C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17E2"/>
    <w:multiLevelType w:val="hybridMultilevel"/>
    <w:tmpl w:val="72B4F5C6"/>
    <w:lvl w:ilvl="0" w:tplc="52FCE1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A87F0E"/>
    <w:multiLevelType w:val="hybridMultilevel"/>
    <w:tmpl w:val="089452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BD3DCA"/>
    <w:multiLevelType w:val="hybridMultilevel"/>
    <w:tmpl w:val="3258B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0301B1"/>
    <w:multiLevelType w:val="hybridMultilevel"/>
    <w:tmpl w:val="2E10A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34B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7308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A12F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C30172"/>
    <w:multiLevelType w:val="hybridMultilevel"/>
    <w:tmpl w:val="8B3CF59C"/>
    <w:lvl w:ilvl="0" w:tplc="C4322728">
      <w:numFmt w:val="bullet"/>
      <w:lvlText w:val="̶"/>
      <w:lvlJc w:val="left"/>
      <w:pPr>
        <w:ind w:left="1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4" w15:restartNumberingAfterBreak="0">
    <w:nsid w:val="6E2023A4"/>
    <w:multiLevelType w:val="hybridMultilevel"/>
    <w:tmpl w:val="1BC48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CORRIGENDUM" w:val="&lt;UNUSED&gt;"/>
    <w:docVar w:name="LW_COVERPAGE_EXISTS" w:val="True"/>
    <w:docVar w:name="LW_COVERPAGE_GUID" w:val="47D905F7-2D13-4247-AF67-184DEDC03555"/>
    <w:docVar w:name="LW_COVERPAGE_TYPE" w:val="1"/>
    <w:docVar w:name="LW_CROSSREFERENCE" w:val="{SWD(2017) 710 final}_x000b_{SWD(2017) 711 final}"/>
    <w:docVar w:name="LW_DocType" w:val="NORMAL"/>
    <w:docVar w:name="LW_EMISSION" w:val="13. 12. 2017"/>
    <w:docVar w:name="LW_EMISSION_ISODATE" w:val="2017-12-13"/>
    <w:docVar w:name="LW_EMISSION_LOCATION" w:val="BRX"/>
    <w:docVar w:name="LW_EMISSION_PREFIX" w:val="V Bruseli"/>
    <w:docVar w:name="LW_EMISSION_SUFFIX" w:val="&lt;EMPTY&gt;"/>
    <w:docVar w:name="LW_ID_DOCTYPE_NONLW" w:val="CP-006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PART_NBR" w:val="1"/>
    <w:docVar w:name="LW_PART_NBR_TOTAL" w:val="1"/>
    <w:docVar w:name="LW_REF.INST.NEW" w:val="COM"/>
    <w:docVar w:name="LW_REF.INST.NEW_ADOPTED" w:val="final"/>
    <w:docVar w:name="LW_REF.INST.NEW_TEXT" w:val="(2017) 810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OUS.TITRE.OBJ.CP" w:val="&lt;UNUSED&gt;"/>
    <w:docVar w:name="LW_SUPERTITRE" w:val="&lt;UNUSED&gt;"/>
    <w:docVar w:name="LW_TITRE.OBJ.CP" w:val="o pokroku pri vykonávaní nariadenia (ES) \u269?. 166/2006 o zriadení Európskeho registra uvo\u318?\u328?ovania a prenosov zne\u269?is\u357?ujúcich látok"/>
    <w:docVar w:name="LW_TYPE.DOC.CP" w:val="SPRÁVA KOMISIE EURÓPSKEMU PARLAMENTU A RADE"/>
  </w:docVars>
  <w:rsids>
    <w:rsidRoot w:val="008A404B"/>
    <w:rsid w:val="00216FFE"/>
    <w:rsid w:val="008A404B"/>
    <w:rsid w:val="00D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5992A9-AB8F-422D-8799-32991A78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2"/>
      </w:numPr>
      <w:spacing w:before="36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Nadpis2">
    <w:name w:val="heading 2"/>
    <w:basedOn w:val="Normlny"/>
    <w:next w:val="Text1"/>
    <w:link w:val="Nadpis2Char"/>
    <w:uiPriority w:val="9"/>
    <w:unhideWhenUsed/>
    <w:qFormat/>
    <w:pPr>
      <w:keepNext/>
      <w:numPr>
        <w:ilvl w:val="1"/>
        <w:numId w:val="1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GB"/>
    </w:rPr>
  </w:style>
  <w:style w:type="paragraph" w:styleId="Nadpis3">
    <w:name w:val="heading 3"/>
    <w:basedOn w:val="Normlny"/>
    <w:next w:val="Text1"/>
    <w:link w:val="Nadpis3Char"/>
    <w:uiPriority w:val="9"/>
    <w:semiHidden/>
    <w:unhideWhenUsed/>
    <w:qFormat/>
    <w:pPr>
      <w:keepNext/>
      <w:numPr>
        <w:ilvl w:val="2"/>
        <w:numId w:val="1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lang w:eastAsia="en-GB"/>
    </w:rPr>
  </w:style>
  <w:style w:type="paragraph" w:styleId="Nadpis4">
    <w:name w:val="heading 4"/>
    <w:basedOn w:val="Normlny"/>
    <w:next w:val="Text1"/>
    <w:link w:val="Nadpis4Char"/>
    <w:uiPriority w:val="9"/>
    <w:semiHidden/>
    <w:unhideWhenUsed/>
    <w:qFormat/>
    <w:pPr>
      <w:keepNext/>
      <w:numPr>
        <w:ilvl w:val="3"/>
        <w:numId w:val="1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eastAsia="en-GB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r">
    <w:name w:val="Marker"/>
    <w:basedOn w:val="Predvolenpsmoodseku"/>
    <w:rPr>
      <w:color w:val="0000FF"/>
      <w:shd w:val="clear" w:color="auto" w:fill="auto"/>
    </w:rPr>
  </w:style>
  <w:style w:type="paragraph" w:customStyle="1" w:styleId="Pagedecouverture">
    <w:name w:val="Page de couverture"/>
    <w:basedOn w:val="Normlny"/>
    <w:next w:val="Norm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 w:cs="Times New Roman"/>
      <w:sz w:val="24"/>
    </w:rPr>
  </w:style>
  <w:style w:type="paragraph" w:customStyle="1" w:styleId="FooterCoverPage">
    <w:name w:val="Footer Cover Page"/>
    <w:basedOn w:val="Norm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Predvolenpsmoodseku"/>
    <w:link w:val="FooterCoverPage"/>
    <w:rPr>
      <w:rFonts w:ascii="Times New Roman" w:hAnsi="Times New Roman" w:cs="Times New Roman"/>
      <w:sz w:val="24"/>
    </w:rPr>
  </w:style>
  <w:style w:type="paragraph" w:customStyle="1" w:styleId="HeaderCoverPage">
    <w:name w:val="Header Cover Page"/>
    <w:basedOn w:val="Norm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Predvolenpsmoodseku"/>
    <w:link w:val="HeaderCoverPage"/>
    <w:rPr>
      <w:rFonts w:ascii="Times New Roman" w:hAnsi="Times New Roman" w:cs="Times New Roman"/>
      <w:sz w:val="24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Hlavikaobsahu">
    <w:name w:val="TOC Heading"/>
    <w:basedOn w:val="Normlny"/>
    <w:next w:val="Normlny"/>
    <w:uiPriority w:val="39"/>
    <w:semiHidden/>
    <w:unhideWhenUsed/>
    <w:qFormat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Obsah1">
    <w:name w:val="toc 1"/>
    <w:basedOn w:val="Normlny"/>
    <w:next w:val="Normlny"/>
    <w:uiPriority w:val="39"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lang w:eastAsia="en-GB"/>
    </w:rPr>
  </w:style>
  <w:style w:type="paragraph" w:styleId="Obsah2">
    <w:name w:val="toc 2"/>
    <w:basedOn w:val="Normlny"/>
    <w:next w:val="Normlny"/>
    <w:uiPriority w:val="39"/>
    <w:unhideWhenUsed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Times New Roman" w:eastAsia="Times New Roman" w:hAnsi="Times New Roman" w:cs="Times New Roman"/>
      <w:b/>
      <w:bCs/>
      <w:sz w:val="24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="Times New Roman" w:eastAsia="Times New Roman" w:hAnsi="Times New Roman" w:cs="Times New Roman"/>
      <w:bCs/>
      <w:i/>
      <w:sz w:val="24"/>
      <w:lang w:eastAsia="en-GB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="Times New Roman" w:eastAsia="Times New Roman" w:hAnsi="Times New Roman" w:cs="Times New Roman"/>
      <w:bCs/>
      <w:iCs/>
      <w:sz w:val="24"/>
      <w:lang w:eastAsia="en-GB"/>
    </w:rPr>
  </w:style>
  <w:style w:type="paragraph" w:customStyle="1" w:styleId="doc-ti">
    <w:name w:val="doc-ti"/>
    <w:basedOn w:val="Norm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styleId="Zvraznenie">
    <w:name w:val="Emphasis"/>
    <w:uiPriority w:val="20"/>
    <w:qFormat/>
    <w:rPr>
      <w:i/>
    </w:rPr>
  </w:style>
  <w:style w:type="paragraph" w:styleId="Odsekzoznamu">
    <w:name w:val="List Paragraph"/>
    <w:basedOn w:val="Normlny"/>
    <w:uiPriority w:val="34"/>
    <w:qFormat/>
    <w:pPr>
      <w:spacing w:before="120"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lny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Revzia">
    <w:name w:val="Revision"/>
    <w:hidden/>
    <w:uiPriority w:val="99"/>
    <w:semiHidden/>
    <w:pPr>
      <w:spacing w:after="0" w:line="240" w:lineRule="auto"/>
    </w:pPr>
  </w:style>
  <w:style w:type="paragraph" w:customStyle="1" w:styleId="Declassification">
    <w:name w:val="Declassification"/>
    <w:basedOn w:val="Normlny"/>
    <w:next w:val="Norm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Landscape">
    <w:name w:val="HeaderLandscape"/>
    <w:basedOn w:val="Normlny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paragraph" w:customStyle="1" w:styleId="FooterLandscape">
    <w:name w:val="FooterLandscape"/>
    <w:basedOn w:val="Normlny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rtr.ec.europa.eu/" TargetMode="External"/><Relationship Id="rId13" Type="http://schemas.openxmlformats.org/officeDocument/2006/relationships/hyperlink" Target="http://eur-lex.europa.eu/legal-content/SK/TXT/?uri=celex:31991L0271" TargetMode="External"/><Relationship Id="rId3" Type="http://schemas.openxmlformats.org/officeDocument/2006/relationships/hyperlink" Target="http://eur-lex.europa.eu/procedure/SK/202443" TargetMode="External"/><Relationship Id="rId7" Type="http://schemas.openxmlformats.org/officeDocument/2006/relationships/hyperlink" Target="https://circabc.europa.eu/sd/a/fd585562-0c60-48f0-ad62-9d1ff7151059/E-PRTR%20evaluation_Final%20report.pdf" TargetMode="External"/><Relationship Id="rId12" Type="http://schemas.openxmlformats.org/officeDocument/2006/relationships/hyperlink" Target="http://eur-lex.europa.eu/legal-content/SK/TXT/?uri=CELEX:52015PC0595" TargetMode="External"/><Relationship Id="rId2" Type="http://schemas.openxmlformats.org/officeDocument/2006/relationships/hyperlink" Target="https://www.unece.org/env/pp/prtr/docs/prtrtext.html" TargetMode="External"/><Relationship Id="rId1" Type="http://schemas.openxmlformats.org/officeDocument/2006/relationships/hyperlink" Target="http://eur-lex.europa.eu/legal-content/SK/TXT/HTML/?uri=CELEX:32006R0166&amp;from=SK" TargetMode="External"/><Relationship Id="rId6" Type="http://schemas.openxmlformats.org/officeDocument/2006/relationships/hyperlink" Target="http://rod.eionet.europa.eu/obligations/540/overview" TargetMode="External"/><Relationship Id="rId11" Type="http://schemas.openxmlformats.org/officeDocument/2006/relationships/hyperlink" Target="http://eur-lex.europa.eu/LexUriServ/LexUriServ.do?uri=OJ:L:2007:108:0001:0014:sk:PDF" TargetMode="External"/><Relationship Id="rId5" Type="http://schemas.openxmlformats.org/officeDocument/2006/relationships/hyperlink" Target="https://webgate.ec.europa.eu/fpfis/wikis/display/ENVReporting/1)+Streamlining+Reporting" TargetMode="External"/><Relationship Id="rId10" Type="http://schemas.openxmlformats.org/officeDocument/2006/relationships/hyperlink" Target="http://www.eea.europa.eu/themes/industry/industrial-pollution" TargetMode="External"/><Relationship Id="rId4" Type="http://schemas.openxmlformats.org/officeDocument/2006/relationships/hyperlink" Target="http://ec.europa.eu/smart-regulation/better_regulation/documents/com_2013_en.pdf" TargetMode="External"/><Relationship Id="rId9" Type="http://schemas.openxmlformats.org/officeDocument/2006/relationships/hyperlink" Target="http://eur-lex.europa.eu/legal-content/SK/TXT/?qid=1489681035236&amp;uri=CELEX:32010L0075" TargetMode="External"/><Relationship Id="rId14" Type="http://schemas.openxmlformats.org/officeDocument/2006/relationships/hyperlink" Target="http://eur-lex.europa.eu/legal-content/SK/TXT/?qid=1490193496651&amp;uri=CELEX:32016L2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6068-D07D-4A19-A4E7-0FEC7878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3221</Words>
  <Characters>18360</Characters>
  <Application>Microsoft Office Word</Application>
  <DocSecurity>0</DocSecurity>
  <Lines>153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Kapustová</dc:creator>
  <cp:lastModifiedBy>Blanka Kapustová</cp:lastModifiedBy>
  <cp:revision>2</cp:revision>
  <cp:lastPrinted>2017-11-09T10:45:00Z</cp:lastPrinted>
  <dcterms:created xsi:type="dcterms:W3CDTF">2017-12-27T16:28:00Z</dcterms:created>
  <dcterms:modified xsi:type="dcterms:W3CDTF">2017-12-27T16:28:00Z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">
    <vt:lpwstr>1</vt:lpwstr>
  </property>
  <property fmtid="{D5CDD505-2E9C-101B-9397-08002B2CF9AE}" pid="3" name="Total parts">
    <vt:lpwstr>1</vt:lpwstr>
  </property>
  <property fmtid="{D5CDD505-2E9C-101B-9397-08002B2CF9AE}" pid="4" name="DocStatus">
    <vt:lpwstr>Green</vt:lpwstr>
  </property>
  <property fmtid="{D5CDD505-2E9C-101B-9397-08002B2CF9AE}" pid="5" name="Level of sensitivity">
    <vt:lpwstr>Standard treatment</vt:lpwstr>
  </property>
</Properties>
</file>