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D8" w:rsidRDefault="002511D8" w:rsidP="002511D8">
      <w:pPr>
        <w:pStyle w:val="Zkladntext"/>
        <w:widowControl/>
        <w:jc w:val="both"/>
      </w:pPr>
    </w:p>
    <w:p w:rsidR="002511D8" w:rsidRDefault="002511D8" w:rsidP="002511D8">
      <w:pPr>
        <w:pStyle w:val="Zkladntext"/>
        <w:widowControl/>
        <w:spacing w:before="1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Ministerstvo životného prostredia Slovenskej republiky</w:t>
      </w:r>
    </w:p>
    <w:p w:rsidR="002511D8" w:rsidRDefault="002511D8" w:rsidP="002511D8">
      <w:pPr>
        <w:pStyle w:val="Zkladntext"/>
        <w:widowControl/>
        <w:spacing w:before="120"/>
        <w:jc w:val="center"/>
        <w:rPr>
          <w:rFonts w:ascii="Arial" w:hAnsi="Arial"/>
        </w:rPr>
      </w:pPr>
    </w:p>
    <w:p w:rsidR="002511D8" w:rsidRDefault="002511D8" w:rsidP="002511D8">
      <w:pPr>
        <w:pStyle w:val="Zkladntext"/>
        <w:widowControl/>
        <w:spacing w:before="120"/>
        <w:rPr>
          <w:sz w:val="28"/>
        </w:rPr>
      </w:pPr>
    </w:p>
    <w:p w:rsidR="002511D8" w:rsidRDefault="002511D8" w:rsidP="002511D8">
      <w:pPr>
        <w:pStyle w:val="Zkladntext"/>
        <w:widowControl/>
        <w:spacing w:before="120"/>
        <w:rPr>
          <w:sz w:val="28"/>
        </w:rPr>
      </w:pPr>
    </w:p>
    <w:p w:rsidR="002511D8" w:rsidRDefault="002511D8" w:rsidP="002511D8">
      <w:pPr>
        <w:pStyle w:val="Zkladntext"/>
        <w:widowControl/>
        <w:spacing w:before="120"/>
        <w:rPr>
          <w:sz w:val="28"/>
        </w:rPr>
      </w:pPr>
    </w:p>
    <w:p w:rsidR="002511D8" w:rsidRDefault="002511D8" w:rsidP="002511D8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511D8" w:rsidRDefault="002511D8" w:rsidP="002511D8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2511D8" w:rsidRDefault="002511D8" w:rsidP="002511D8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Návrh</w:t>
      </w:r>
    </w:p>
    <w:p w:rsidR="002511D8" w:rsidRDefault="002511D8" w:rsidP="002511D8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2511D8" w:rsidRDefault="002511D8" w:rsidP="002511D8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osobitných podmienok </w:t>
      </w:r>
    </w:p>
    <w:p w:rsidR="002511D8" w:rsidRDefault="002511D8" w:rsidP="002511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udelenie národnej environmentálnej značky</w:t>
      </w:r>
    </w:p>
    <w:p w:rsidR="002511D8" w:rsidRDefault="002511D8" w:rsidP="002511D8">
      <w:pPr>
        <w:jc w:val="center"/>
        <w:rPr>
          <w:rFonts w:ascii="Arial" w:hAnsi="Arial" w:cs="Arial"/>
          <w:sz w:val="32"/>
          <w:szCs w:val="32"/>
        </w:rPr>
      </w:pPr>
    </w:p>
    <w:p w:rsidR="002511D8" w:rsidRDefault="002511D8" w:rsidP="002511D8">
      <w:pPr>
        <w:jc w:val="center"/>
        <w:rPr>
          <w:rFonts w:ascii="Arial" w:hAnsi="Arial" w:cs="Arial"/>
          <w:sz w:val="32"/>
          <w:szCs w:val="32"/>
        </w:rPr>
      </w:pPr>
    </w:p>
    <w:p w:rsidR="002511D8" w:rsidRDefault="002511D8" w:rsidP="002511D8">
      <w:pPr>
        <w:pStyle w:val="Zkladntext"/>
        <w:widowControl/>
        <w:jc w:val="center"/>
        <w:rPr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2584450</wp:posOffset>
                </wp:positionV>
                <wp:extent cx="685800" cy="342900"/>
                <wp:effectExtent l="0" t="0" r="3810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1D8" w:rsidRDefault="002511D8" w:rsidP="002511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07pt;margin-top:203.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" stroked="f">
                <v:textbox>
                  <w:txbxContent>
                    <w:p w:rsidR="002511D8" w:rsidRDefault="002511D8" w:rsidP="002511D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..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3486150" cy="3162300"/>
            <wp:effectExtent l="0" t="0" r="0" b="0"/>
            <wp:docPr id="1" name="Obrázok 1" descr="Nový obrázek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obrázek (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D8" w:rsidRDefault="002511D8" w:rsidP="002511D8">
      <w:pPr>
        <w:pStyle w:val="Zkladntext"/>
        <w:widowControl/>
        <w:spacing w:before="120"/>
        <w:rPr>
          <w:rFonts w:ascii="Arial" w:hAnsi="Arial"/>
        </w:rPr>
      </w:pPr>
    </w:p>
    <w:p w:rsidR="002511D8" w:rsidRDefault="002511D8" w:rsidP="002511D8">
      <w:pPr>
        <w:pStyle w:val="Zkladntext"/>
        <w:widowControl/>
        <w:spacing w:before="120"/>
        <w:jc w:val="center"/>
        <w:rPr>
          <w:rFonts w:ascii="Arial" w:hAnsi="Arial"/>
        </w:rPr>
      </w:pPr>
    </w:p>
    <w:p w:rsidR="002511D8" w:rsidRDefault="002511D8" w:rsidP="002511D8">
      <w:pPr>
        <w:pStyle w:val="Zkladntext"/>
        <w:widowControl/>
        <w:spacing w:before="120"/>
        <w:jc w:val="center"/>
        <w:rPr>
          <w:rFonts w:ascii="Arial" w:hAnsi="Arial"/>
        </w:rPr>
      </w:pPr>
    </w:p>
    <w:p w:rsidR="002511D8" w:rsidRDefault="002511D8" w:rsidP="002511D8">
      <w:pPr>
        <w:pStyle w:val="Zkladntext"/>
        <w:widowControl/>
        <w:spacing w:before="120"/>
      </w:pPr>
    </w:p>
    <w:p w:rsidR="002511D8" w:rsidRDefault="002511D8" w:rsidP="002511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skupina produktov</w:t>
      </w:r>
    </w:p>
    <w:p w:rsidR="002511D8" w:rsidRDefault="002511D8" w:rsidP="002511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Zariadenia na spaľovanie tuhej biomasy</w:t>
      </w:r>
    </w:p>
    <w:p w:rsidR="002511D8" w:rsidRDefault="002511D8" w:rsidP="002511D8">
      <w:pPr>
        <w:pStyle w:val="Zkladntext"/>
        <w:widowControl/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2511D8" w:rsidRDefault="002511D8" w:rsidP="002511D8">
      <w:pPr>
        <w:pStyle w:val="Zkladntext"/>
        <w:widowControl/>
        <w:jc w:val="both"/>
        <w:rPr>
          <w:szCs w:val="24"/>
        </w:rPr>
      </w:pPr>
    </w:p>
    <w:p w:rsidR="002511D8" w:rsidRDefault="002511D8" w:rsidP="002511D8">
      <w:pPr>
        <w:pStyle w:val="Zkladntext"/>
        <w:widowControl/>
        <w:jc w:val="both"/>
        <w:rPr>
          <w:szCs w:val="24"/>
        </w:rPr>
      </w:pPr>
    </w:p>
    <w:p w:rsidR="002511D8" w:rsidRDefault="002511D8" w:rsidP="002511D8">
      <w:pPr>
        <w:pStyle w:val="Zkladntext"/>
        <w:widowControl/>
        <w:jc w:val="both"/>
        <w:rPr>
          <w:szCs w:val="24"/>
        </w:rPr>
      </w:pPr>
    </w:p>
    <w:p w:rsidR="002511D8" w:rsidRDefault="002511D8" w:rsidP="002511D8">
      <w:pPr>
        <w:pStyle w:val="text"/>
        <w:spacing w:before="0" w:beforeAutospacing="0" w:after="0" w:afterAutospacing="0"/>
        <w:jc w:val="both"/>
      </w:pPr>
      <w:r>
        <w:lastRenderedPageBreak/>
        <w:tab/>
      </w:r>
      <w:r w:rsidRPr="003C6931">
        <w:t>V oblasti energetiky sa čoraz väčší dôraz kladie na nízkoemisné spaľovanie s maximálnym využitím obnoviteľných zdrojov energie. Medzi najvýznamnejšie obnoviteľné zdroje energie v Slovenskej republike patrí tuhá biomasa, ktorá je považovaná za palivo s nižším negatívnym vplyvom na životné prostredie. Spaľovanie je najjednoduchší spôsob, ako získavať z paliva tepelnú energiu. V zariadeniach určených na spaľovanie sa chemicky viazaná energia v palivách transformuje na teplo, ktoré cez steny kotlového telesa a výmenníka ohrieva teplonosné médium. K spaľovacím procesom dochádza v zariadeniach pri určitých teplotných a tlakových pomeroch, pri ktorých sa menia fyzikálne vlastnosti teplonosného média. Vzhľadom na tieto skutočnosti musí spaľovacie zariadenie spĺňať predpísané bezpečnostné požiadavky, aby sa predišlo možným haváriám, požiarom a rizikám, ktoré môžu viesť k prípadným úrazom obslu</w:t>
      </w:r>
      <w:r>
        <w:t xml:space="preserve">hy alebo k poškodeniu majetku. </w:t>
      </w:r>
      <w:r w:rsidRPr="003C6931">
        <w:t>Zariadenia na spaľovanie tuhej biomasy musia dosahovať vysokú energetickú účinnosť, ktorá súvisí s procesom dokonalého spaľovania. Či prebehne</w:t>
      </w:r>
      <w:r>
        <w:t xml:space="preserve"> proces dokonalého spaľovania, </w:t>
      </w:r>
      <w:r w:rsidRPr="003C6931">
        <w:t xml:space="preserve">závisí od správneho množstva privádzaného vzduchu. Pri nedostatočnom prísune vzduchu sa vytvárajú podmienky, pri ktorých v spalinách zostávajú nevyužité horľavé zložky zaťažujúce ovzdušie a znižujúce účinnosť týchto zariadení. </w:t>
      </w:r>
    </w:p>
    <w:p w:rsidR="002511D8" w:rsidRPr="003C6931" w:rsidRDefault="002511D8" w:rsidP="002511D8">
      <w:pPr>
        <w:pStyle w:val="text"/>
        <w:spacing w:before="0" w:beforeAutospacing="0" w:after="0" w:afterAutospacing="0"/>
        <w:jc w:val="both"/>
      </w:pPr>
      <w:r>
        <w:tab/>
      </w:r>
      <w:r w:rsidR="00A8517C">
        <w:t>O</w:t>
      </w:r>
      <w:r w:rsidRPr="003C6931">
        <w:t xml:space="preserve">sobitné podmienky sú vypracované v zmysle </w:t>
      </w:r>
      <w:bookmarkStart w:id="0" w:name="_Hlk66631655"/>
      <w:r w:rsidRPr="003C6931">
        <w:t>zákona č. 469/2002 Z. z. o environmentálnom označovaní výrobkov v znení neskorších predpisov.</w:t>
      </w:r>
    </w:p>
    <w:p w:rsidR="002511D8" w:rsidRDefault="002511D8" w:rsidP="002511D8">
      <w:pPr>
        <w:rPr>
          <w:rFonts w:cs="Arial"/>
          <w:b/>
          <w:szCs w:val="20"/>
        </w:rPr>
      </w:pPr>
    </w:p>
    <w:bookmarkEnd w:id="0"/>
    <w:p w:rsidR="002511D8" w:rsidRDefault="002511D8" w:rsidP="002511D8">
      <w:pPr>
        <w:rPr>
          <w:rFonts w:cs="Arial"/>
          <w:b/>
          <w:szCs w:val="20"/>
        </w:rPr>
      </w:pPr>
    </w:p>
    <w:p w:rsidR="002511D8" w:rsidRDefault="002511D8" w:rsidP="002511D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Vymedzenie skupiny produktov</w:t>
      </w:r>
    </w:p>
    <w:p w:rsidR="002511D8" w:rsidRDefault="002511D8" w:rsidP="002511D8">
      <w:pPr>
        <w:rPr>
          <w:rFonts w:cs="Arial"/>
          <w:b/>
          <w:szCs w:val="20"/>
        </w:rPr>
      </w:pPr>
    </w:p>
    <w:p w:rsidR="002511D8" w:rsidRPr="00075D6B" w:rsidRDefault="002511D8" w:rsidP="002511D8">
      <w:pPr>
        <w:jc w:val="both"/>
        <w:rPr>
          <w:strike/>
        </w:rPr>
      </w:pPr>
      <w:r w:rsidRPr="00075D6B">
        <w:t>Osobitné podmienky sa vzťahujú na zariadenia na spaľovanie tuhej biomasy (tuhého paliva</w:t>
      </w:r>
      <w:r>
        <w:t xml:space="preserve"> z biomasy</w:t>
      </w:r>
      <w:r w:rsidRPr="00075D6B">
        <w:t>:</w:t>
      </w:r>
    </w:p>
    <w:p w:rsidR="002511D8" w:rsidRDefault="002511D8" w:rsidP="002511D8">
      <w:pPr>
        <w:tabs>
          <w:tab w:val="num" w:pos="360"/>
        </w:tabs>
        <w:jc w:val="both"/>
        <w:rPr>
          <w:strike/>
          <w:color w:val="FF0000"/>
        </w:rPr>
      </w:pPr>
    </w:p>
    <w:p w:rsidR="002511D8" w:rsidRPr="003C6931" w:rsidRDefault="002511D8" w:rsidP="002511D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kotly s menovitým tepelným výkonom menším alebo rovným ako 500 kW,</w:t>
      </w:r>
    </w:p>
    <w:p w:rsidR="002511D8" w:rsidRPr="003C6931" w:rsidRDefault="002511D8" w:rsidP="002511D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lokálne ohrievače priestoru s menovitým tepelným výkonom 50 kW alebo menej,</w:t>
      </w:r>
    </w:p>
    <w:p w:rsidR="002511D8" w:rsidRDefault="002511D8" w:rsidP="002511D8">
      <w:pPr>
        <w:tabs>
          <w:tab w:val="num" w:pos="360"/>
        </w:tabs>
        <w:jc w:val="both"/>
      </w:pPr>
    </w:p>
    <w:p w:rsidR="002511D8" w:rsidRDefault="002511D8" w:rsidP="002511D8">
      <w:pPr>
        <w:tabs>
          <w:tab w:val="num" w:pos="360"/>
        </w:tabs>
        <w:jc w:val="both"/>
      </w:pPr>
      <w:r>
        <w:t>Tieto osobitné podmienky sa nevzťahujú na:</w:t>
      </w:r>
    </w:p>
    <w:p w:rsidR="002511D8" w:rsidRDefault="002511D8" w:rsidP="002511D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kotly vyrábajúce teplo výlučne na ohrev teplej pitnej alebo úžitkovej vody,</w:t>
      </w:r>
    </w:p>
    <w:p w:rsidR="002511D8" w:rsidRPr="003C6931" w:rsidRDefault="002511D8" w:rsidP="002511D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kotly na ohrev a rozvod plynných teplonosných médií, napríklad pary alebo vzduchu,</w:t>
      </w:r>
    </w:p>
    <w:p w:rsidR="002511D8" w:rsidRDefault="002511D8" w:rsidP="002511D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kogeneračné kotly na tuhé palivo s maximálnym elektrickým výkonom 50 kW alebo   </w:t>
      </w:r>
      <w:r>
        <w:br/>
        <w:t xml:space="preserve">     vyšším,</w:t>
      </w:r>
    </w:p>
    <w:p w:rsidR="002511D8" w:rsidRDefault="002511D8" w:rsidP="002511D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kotly na nedrevnú biomasu,</w:t>
      </w:r>
    </w:p>
    <w:p w:rsidR="002511D8" w:rsidRDefault="002511D8" w:rsidP="002511D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lokálne ohrievače priestoru na tuhé palivo, ktoré sú určené iba na spaľovanie nedrevnej </w:t>
      </w:r>
      <w:r>
        <w:br/>
        <w:t xml:space="preserve">     biomasy,</w:t>
      </w:r>
    </w:p>
    <w:p w:rsidR="002511D8" w:rsidRDefault="002511D8" w:rsidP="002511D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lokálne ohrievače priestoru na tuhé palivo, ktoré sú určené iba na vonkajšie použitie,</w:t>
      </w:r>
    </w:p>
    <w:p w:rsidR="002511D8" w:rsidRDefault="002511D8" w:rsidP="00A8517C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lokálne ohrievače priestoru na tuhé palivo, ktorých priamy tepelný výkon predstavuje </w:t>
      </w:r>
      <w:r>
        <w:br/>
        <w:t xml:space="preserve">    </w:t>
      </w:r>
      <w:r w:rsidR="00A8517C">
        <w:t xml:space="preserve"> </w:t>
      </w:r>
      <w:r>
        <w:t xml:space="preserve">menej ako 6 % kombinovaného priameho a nepriameho tepelného výkonu pri nominálnom </w:t>
      </w:r>
      <w:r>
        <w:br/>
        <w:t xml:space="preserve">    </w:t>
      </w:r>
      <w:r w:rsidR="00A8517C">
        <w:t xml:space="preserve"> </w:t>
      </w:r>
      <w:r>
        <w:t>tepelnom výkone,</w:t>
      </w:r>
    </w:p>
    <w:p w:rsidR="002511D8" w:rsidRDefault="002511D8" w:rsidP="00A8517C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lokálne ohrievače priestoru na tuhé palivo, ktoré neboli továrensky zmontované, ani dodané </w:t>
      </w:r>
    </w:p>
    <w:p w:rsidR="002511D8" w:rsidRDefault="002511D8" w:rsidP="002511D8">
      <w:pPr>
        <w:tabs>
          <w:tab w:val="num" w:pos="360"/>
        </w:tabs>
        <w:jc w:val="both"/>
      </w:pPr>
      <w:r>
        <w:t xml:space="preserve">   </w:t>
      </w:r>
      <w:r w:rsidR="00A8517C">
        <w:t xml:space="preserve"> </w:t>
      </w:r>
      <w:r>
        <w:t xml:space="preserve"> jedným výrobcom ako prefabrikované komponenty alebo časti, ktoré sa majú zmontovať na </w:t>
      </w:r>
      <w:r>
        <w:br/>
        <w:t xml:space="preserve">     mieste,</w:t>
      </w:r>
    </w:p>
    <w:p w:rsidR="002511D8" w:rsidRDefault="002511D8" w:rsidP="002511D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výrobky na ohrievanie vzduchu,</w:t>
      </w:r>
    </w:p>
    <w:p w:rsidR="002511D8" w:rsidRDefault="002511D8" w:rsidP="002511D8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saunové pece.</w:t>
      </w:r>
    </w:p>
    <w:p w:rsidR="002511D8" w:rsidRDefault="002511D8" w:rsidP="002511D8">
      <w:pPr>
        <w:tabs>
          <w:tab w:val="num" w:pos="360"/>
        </w:tabs>
        <w:jc w:val="both"/>
      </w:pPr>
    </w:p>
    <w:p w:rsidR="002511D8" w:rsidRDefault="002511D8" w:rsidP="002511D8">
      <w:pPr>
        <w:jc w:val="both"/>
        <w:rPr>
          <w:rFonts w:cs="Arial"/>
          <w:szCs w:val="20"/>
        </w:rPr>
      </w:pPr>
    </w:p>
    <w:p w:rsidR="002511D8" w:rsidRDefault="002511D8" w:rsidP="002511D8">
      <w:pPr>
        <w:jc w:val="both"/>
        <w:rPr>
          <w:b/>
        </w:rPr>
      </w:pPr>
      <w:r>
        <w:rPr>
          <w:b/>
        </w:rPr>
        <w:t>2.  Definície pojmov</w:t>
      </w:r>
    </w:p>
    <w:p w:rsidR="002511D8" w:rsidRDefault="002511D8" w:rsidP="002511D8">
      <w:pPr>
        <w:jc w:val="both"/>
        <w:rPr>
          <w:rFonts w:cs="Arial"/>
          <w:b/>
          <w:szCs w:val="20"/>
        </w:rPr>
      </w:pPr>
    </w:p>
    <w:p w:rsidR="002511D8" w:rsidRDefault="002511D8" w:rsidP="002511D8">
      <w:pPr>
        <w:pStyle w:val="Zkladntext"/>
        <w:tabs>
          <w:tab w:val="left" w:pos="360"/>
        </w:tabs>
        <w:spacing w:after="120"/>
        <w:jc w:val="both"/>
      </w:pPr>
      <w:r w:rsidRPr="00AC76BA">
        <w:t>Na účely tohto Oznámenia platia nasledujúce definície:</w:t>
      </w:r>
    </w:p>
    <w:p w:rsidR="002511D8" w:rsidRDefault="002511D8" w:rsidP="00A8517C">
      <w:pPr>
        <w:jc w:val="both"/>
      </w:pPr>
      <w:r w:rsidRPr="004E6FD2">
        <w:rPr>
          <w:u w:val="single"/>
        </w:rPr>
        <w:lastRenderedPageBreak/>
        <w:t>Energia z obnoviteľných zdrojov</w:t>
      </w:r>
      <w:r w:rsidRPr="004E6FD2">
        <w:t xml:space="preserve"> je energia z obnoviteľných nefosílnych zdrojov, a to veterná, slnečná (slnečná tepelná a fotovoltická slnečná) a geotermálna energia, energia z okolia, energia z prílivu, vĺn, a iná energia oceánu, vodná energia, biomasa, skládkový plyn, plyn z čistiarní odpadových vôd a bioplyn.</w:t>
      </w:r>
    </w:p>
    <w:p w:rsidR="00A8517C" w:rsidRPr="004E6FD2" w:rsidRDefault="00A8517C" w:rsidP="00A8517C">
      <w:pPr>
        <w:jc w:val="both"/>
      </w:pPr>
    </w:p>
    <w:p w:rsidR="002511D8" w:rsidRDefault="002511D8" w:rsidP="00A8517C">
      <w:pPr>
        <w:jc w:val="both"/>
      </w:pPr>
      <w:r w:rsidRPr="004E6FD2">
        <w:rPr>
          <w:u w:val="single"/>
        </w:rPr>
        <w:t>Biomasa</w:t>
      </w:r>
      <w:r w:rsidRPr="004E6FD2">
        <w:t xml:space="preserve"> sú biologicky rozložiteľné časti výrobkov, odpadu a zvyškov biologického pôvodu z poľnohospodárstva vrátane rastlinných a živočíšnych látok, z lesného hospodárstva a príbuzných odvetví vrátane rybného hospodárstva a akvakultúry, ako aj biologicky rozložiteľné časti odpadu vrátane priemyselného a komunálneho odpadu biologického pôvodu.</w:t>
      </w:r>
    </w:p>
    <w:p w:rsidR="002511D8" w:rsidRPr="003C6931" w:rsidRDefault="002511D8" w:rsidP="002511D8">
      <w:pPr>
        <w:jc w:val="both"/>
      </w:pPr>
    </w:p>
    <w:p w:rsidR="002511D8" w:rsidRPr="003C6931" w:rsidRDefault="002511D8" w:rsidP="002511D8">
      <w:pPr>
        <w:jc w:val="both"/>
      </w:pPr>
      <w:r w:rsidRPr="003C6931">
        <w:rPr>
          <w:u w:val="single"/>
        </w:rPr>
        <w:t>Dendromasa - drevná biomasa</w:t>
      </w:r>
      <w:r w:rsidRPr="003C6931">
        <w:t xml:space="preserve"> je biomasa zo stromov, kríkov a krovín:</w:t>
      </w:r>
    </w:p>
    <w:p w:rsidR="002511D8" w:rsidRPr="003C6931" w:rsidRDefault="002511D8" w:rsidP="002511D8">
      <w:pPr>
        <w:numPr>
          <w:ilvl w:val="0"/>
          <w:numId w:val="2"/>
        </w:numPr>
        <w:ind w:left="0" w:firstLine="0"/>
        <w:jc w:val="both"/>
      </w:pPr>
      <w:r w:rsidRPr="003C6931">
        <w:t>produkty lesníctva (kusové drevo, drevné štiepky);</w:t>
      </w:r>
    </w:p>
    <w:p w:rsidR="002511D8" w:rsidRPr="003C6931" w:rsidRDefault="002511D8" w:rsidP="002511D8">
      <w:pPr>
        <w:numPr>
          <w:ilvl w:val="0"/>
          <w:numId w:val="2"/>
        </w:numPr>
        <w:ind w:left="0" w:firstLine="0"/>
        <w:jc w:val="both"/>
      </w:pPr>
      <w:r>
        <w:t xml:space="preserve">biomasa </w:t>
      </w:r>
      <w:r w:rsidRPr="003C6931">
        <w:t xml:space="preserve">z lesníctva (zvyšky po ťažbe dreva, </w:t>
      </w:r>
      <w:r>
        <w:t>iná drevná biomasa</w:t>
      </w:r>
      <w:r w:rsidRPr="003C6931">
        <w:t xml:space="preserve"> z lesníctva);</w:t>
      </w:r>
    </w:p>
    <w:p w:rsidR="002511D8" w:rsidRPr="003C6931" w:rsidRDefault="002511D8" w:rsidP="002511D8">
      <w:pPr>
        <w:numPr>
          <w:ilvl w:val="0"/>
          <w:numId w:val="2"/>
        </w:numPr>
        <w:ind w:left="0" w:firstLine="0"/>
        <w:jc w:val="both"/>
      </w:pPr>
      <w:r w:rsidRPr="003C6931">
        <w:t>drevn</w:t>
      </w:r>
      <w:r>
        <w:t>á</w:t>
      </w:r>
      <w:r w:rsidRPr="003C6931">
        <w:t xml:space="preserve"> </w:t>
      </w:r>
      <w:r>
        <w:t>biomasa</w:t>
      </w:r>
      <w:r w:rsidRPr="003C6931">
        <w:t xml:space="preserve"> z drevospracujúceho priemyslu (kusov</w:t>
      </w:r>
      <w:r>
        <w:t>é</w:t>
      </w:r>
      <w:r w:rsidRPr="003C6931">
        <w:t xml:space="preserve"> drev</w:t>
      </w:r>
      <w:r>
        <w:t>o</w:t>
      </w:r>
      <w:r w:rsidRPr="003C6931">
        <w:t xml:space="preserve">, drevné piliny, drevné </w:t>
      </w:r>
      <w:r>
        <w:t xml:space="preserve">  </w:t>
      </w:r>
      <w:r>
        <w:br/>
        <w:t xml:space="preserve">      hobliny, drevný prach, iná</w:t>
      </w:r>
      <w:r w:rsidRPr="003C6931">
        <w:t xml:space="preserve"> drevn</w:t>
      </w:r>
      <w:r>
        <w:t>á</w:t>
      </w:r>
      <w:r w:rsidRPr="003C6931">
        <w:t xml:space="preserve"> </w:t>
      </w:r>
      <w:r>
        <w:t>biomasa</w:t>
      </w:r>
      <w:r w:rsidRPr="003C6931">
        <w:t xml:space="preserve"> z drevospracujúceho priemyslu);</w:t>
      </w:r>
    </w:p>
    <w:p w:rsidR="002511D8" w:rsidRPr="003C6931" w:rsidRDefault="002511D8" w:rsidP="002511D8">
      <w:pPr>
        <w:numPr>
          <w:ilvl w:val="0"/>
          <w:numId w:val="2"/>
        </w:numPr>
        <w:ind w:left="0" w:firstLine="0"/>
        <w:jc w:val="both"/>
      </w:pPr>
      <w:r w:rsidRPr="003C6931">
        <w:t>zámerne pestované energetické rastliny - dreviny pre energetické využitie;</w:t>
      </w:r>
    </w:p>
    <w:p w:rsidR="002511D8" w:rsidRPr="003C6931" w:rsidRDefault="002511D8" w:rsidP="002511D8">
      <w:pPr>
        <w:numPr>
          <w:ilvl w:val="0"/>
          <w:numId w:val="2"/>
        </w:numPr>
        <w:ind w:left="0" w:firstLine="0"/>
        <w:jc w:val="both"/>
      </w:pPr>
      <w:r w:rsidRPr="003C6931">
        <w:t>drevn</w:t>
      </w:r>
      <w:r>
        <w:t>á</w:t>
      </w:r>
      <w:r w:rsidRPr="003C6931">
        <w:t xml:space="preserve"> </w:t>
      </w:r>
      <w:r>
        <w:t>biomasa</w:t>
      </w:r>
      <w:r w:rsidRPr="003C6931">
        <w:t xml:space="preserve"> zo sadov, viníc a záhrad;</w:t>
      </w:r>
    </w:p>
    <w:p w:rsidR="002511D8" w:rsidRPr="003C6931" w:rsidRDefault="002511D8" w:rsidP="002511D8">
      <w:pPr>
        <w:numPr>
          <w:ilvl w:val="0"/>
          <w:numId w:val="2"/>
        </w:numPr>
        <w:ind w:left="0" w:firstLine="0"/>
        <w:jc w:val="both"/>
      </w:pPr>
      <w:r w:rsidRPr="003C6931">
        <w:t>drevné náplavy a nálety.</w:t>
      </w:r>
    </w:p>
    <w:p w:rsidR="002511D8" w:rsidRPr="003C6931" w:rsidRDefault="002511D8" w:rsidP="002511D8">
      <w:pPr>
        <w:jc w:val="both"/>
        <w:rPr>
          <w:u w:val="single"/>
        </w:rPr>
      </w:pPr>
    </w:p>
    <w:p w:rsidR="002511D8" w:rsidRPr="003C6931" w:rsidRDefault="002511D8" w:rsidP="002511D8">
      <w:pPr>
        <w:jc w:val="both"/>
      </w:pPr>
      <w:r w:rsidRPr="00377FC3">
        <w:rPr>
          <w:u w:val="single"/>
        </w:rPr>
        <w:t>Fytomasa</w:t>
      </w:r>
      <w:r>
        <w:rPr>
          <w:u w:val="single"/>
        </w:rPr>
        <w:t xml:space="preserve"> </w:t>
      </w:r>
      <w:r w:rsidRPr="00075D6B">
        <w:rPr>
          <w:u w:val="single"/>
        </w:rPr>
        <w:t>(nedrevná biomasa)</w:t>
      </w:r>
      <w:r w:rsidRPr="00377FC3">
        <w:rPr>
          <w:u w:val="single"/>
        </w:rPr>
        <w:t xml:space="preserve"> - bylinná biomasa</w:t>
      </w:r>
      <w:r w:rsidRPr="003C6931">
        <w:t xml:space="preserve"> je biomasa z rastlín, ktoré nemajú drevenú stonku a ktoré po konci vegetačného obdobia odumierajú:</w:t>
      </w:r>
    </w:p>
    <w:p w:rsidR="002511D8" w:rsidRPr="003C6931" w:rsidRDefault="002523AB" w:rsidP="002511D8">
      <w:pPr>
        <w:numPr>
          <w:ilvl w:val="0"/>
          <w:numId w:val="2"/>
        </w:numPr>
        <w:ind w:left="0" w:firstLine="0"/>
        <w:jc w:val="both"/>
      </w:pPr>
      <w:r>
        <w:t>výrobky poľnohospodárstva,</w:t>
      </w:r>
    </w:p>
    <w:p w:rsidR="002511D8" w:rsidRPr="003C6931" w:rsidRDefault="002511D8" w:rsidP="002511D8">
      <w:pPr>
        <w:numPr>
          <w:ilvl w:val="0"/>
          <w:numId w:val="2"/>
        </w:numPr>
        <w:ind w:left="0" w:firstLine="0"/>
        <w:jc w:val="both"/>
      </w:pPr>
      <w:r>
        <w:t>rastlinná</w:t>
      </w:r>
      <w:r w:rsidRPr="003C6931">
        <w:t xml:space="preserve"> </w:t>
      </w:r>
      <w:r>
        <w:t>biomasa</w:t>
      </w:r>
      <w:r w:rsidR="002523AB">
        <w:t xml:space="preserve"> z poľnohospodárstva,</w:t>
      </w:r>
    </w:p>
    <w:p w:rsidR="002511D8" w:rsidRPr="003C6931" w:rsidRDefault="002511D8" w:rsidP="002511D8">
      <w:pPr>
        <w:numPr>
          <w:ilvl w:val="0"/>
          <w:numId w:val="2"/>
        </w:numPr>
        <w:ind w:left="0" w:firstLine="0"/>
        <w:jc w:val="both"/>
      </w:pPr>
      <w:r w:rsidRPr="003C6931">
        <w:t>zámerne pestované poľnohospodárske pr</w:t>
      </w:r>
      <w:r w:rsidR="002523AB">
        <w:t>odukty pre energetické využitie,</w:t>
      </w:r>
    </w:p>
    <w:p w:rsidR="002511D8" w:rsidRPr="003C6931" w:rsidRDefault="002511D8" w:rsidP="002511D8">
      <w:pPr>
        <w:numPr>
          <w:ilvl w:val="0"/>
          <w:numId w:val="2"/>
        </w:numPr>
        <w:ind w:left="0" w:firstLine="0"/>
        <w:jc w:val="both"/>
      </w:pPr>
      <w:r w:rsidRPr="003C6931">
        <w:t>zámern</w:t>
      </w:r>
      <w:r w:rsidR="002523AB">
        <w:t>e pestované energetické traviny,</w:t>
      </w:r>
    </w:p>
    <w:p w:rsidR="002511D8" w:rsidRPr="003C6931" w:rsidRDefault="002523AB" w:rsidP="002511D8">
      <w:pPr>
        <w:numPr>
          <w:ilvl w:val="0"/>
          <w:numId w:val="2"/>
        </w:numPr>
        <w:ind w:left="0" w:firstLine="0"/>
        <w:jc w:val="both"/>
      </w:pPr>
      <w:r>
        <w:t>ovocná biomasa,</w:t>
      </w:r>
    </w:p>
    <w:p w:rsidR="002511D8" w:rsidRDefault="002511D8" w:rsidP="002511D8">
      <w:pPr>
        <w:numPr>
          <w:ilvl w:val="0"/>
          <w:numId w:val="2"/>
        </w:numPr>
        <w:ind w:left="0" w:firstLine="0"/>
        <w:jc w:val="both"/>
      </w:pPr>
      <w:r w:rsidRPr="003C6931">
        <w:t>komunálna fytomasa.</w:t>
      </w:r>
    </w:p>
    <w:p w:rsidR="002511D8" w:rsidRPr="003C6931" w:rsidRDefault="002511D8" w:rsidP="002511D8">
      <w:pPr>
        <w:jc w:val="both"/>
      </w:pPr>
    </w:p>
    <w:p w:rsidR="002511D8" w:rsidRDefault="002511D8" w:rsidP="002511D8">
      <w:pPr>
        <w:jc w:val="both"/>
      </w:pPr>
      <w:r w:rsidRPr="00377FC3">
        <w:rPr>
          <w:u w:val="single"/>
        </w:rPr>
        <w:t>Palivo</w:t>
      </w:r>
      <w:r w:rsidRPr="00377FC3">
        <w:t xml:space="preserve"> j</w:t>
      </w:r>
      <w:r w:rsidRPr="003C6931">
        <w:t xml:space="preserve">e nosič energie určený na premenu na energiu. </w:t>
      </w:r>
    </w:p>
    <w:p w:rsidR="002511D8" w:rsidRPr="003C6931" w:rsidRDefault="002511D8" w:rsidP="002511D8">
      <w:pPr>
        <w:jc w:val="both"/>
      </w:pPr>
    </w:p>
    <w:p w:rsidR="002511D8" w:rsidRPr="004E6FD2" w:rsidRDefault="002511D8" w:rsidP="002523AB">
      <w:pPr>
        <w:jc w:val="both"/>
      </w:pPr>
      <w:r w:rsidRPr="004E6FD2">
        <w:rPr>
          <w:u w:val="single"/>
        </w:rPr>
        <w:t>Palivá z biomasy</w:t>
      </w:r>
      <w:r w:rsidRPr="004E6FD2">
        <w:t xml:space="preserve"> sú plynné a tuhé palivá z biomasy.</w:t>
      </w:r>
    </w:p>
    <w:p w:rsidR="002511D8" w:rsidRDefault="002511D8" w:rsidP="002523AB">
      <w:pPr>
        <w:jc w:val="both"/>
      </w:pPr>
    </w:p>
    <w:p w:rsidR="002511D8" w:rsidRPr="00075D6B" w:rsidRDefault="002511D8" w:rsidP="002511D8">
      <w:pPr>
        <w:jc w:val="both"/>
      </w:pPr>
      <w:r w:rsidRPr="00075D6B">
        <w:rPr>
          <w:u w:val="single"/>
        </w:rPr>
        <w:t>Tuhé palivo</w:t>
      </w:r>
      <w:r w:rsidRPr="00075D6B">
        <w:t xml:space="preserve"> je palivo, ktoré je pri normálnej izbovej teplote v pevnom skupenstve, vrátane tuhej biomasy a tuhého fosílneho paliva.</w:t>
      </w:r>
    </w:p>
    <w:p w:rsidR="002511D8" w:rsidRDefault="002511D8" w:rsidP="002511D8">
      <w:pPr>
        <w:jc w:val="both"/>
      </w:pPr>
    </w:p>
    <w:p w:rsidR="002523AB" w:rsidRDefault="002511D8" w:rsidP="002511D8">
      <w:pPr>
        <w:spacing w:after="168" w:line="249" w:lineRule="auto"/>
        <w:ind w:left="-5"/>
      </w:pPr>
      <w:r w:rsidRPr="00075D6B">
        <w:rPr>
          <w:u w:val="single"/>
        </w:rPr>
        <w:t xml:space="preserve">Tuhé </w:t>
      </w:r>
      <w:r>
        <w:rPr>
          <w:u w:val="single"/>
        </w:rPr>
        <w:t>palivo z biomasy</w:t>
      </w:r>
      <w:r w:rsidRPr="00075D6B">
        <w:t xml:space="preserve"> je tuhé palivo vyrobené priamo alebo nepriamo z biomasy. </w:t>
      </w:r>
    </w:p>
    <w:p w:rsidR="002511D8" w:rsidRPr="002523AB" w:rsidRDefault="002511D8" w:rsidP="002523AB">
      <w:pPr>
        <w:spacing w:after="168" w:line="249" w:lineRule="auto"/>
        <w:ind w:left="-5"/>
        <w:jc w:val="both"/>
      </w:pPr>
      <w:r w:rsidRPr="002523AB">
        <w:t xml:space="preserve">Jednotlivé tuhé palivá z biomasy sa v súlade s STN EN ISO 17225-1 špecifikujú podľa pôvodu a zdroja a obchodných foriem a vlastností. </w:t>
      </w:r>
    </w:p>
    <w:p w:rsidR="002511D8" w:rsidRPr="00075D6B" w:rsidRDefault="002511D8" w:rsidP="002511D8">
      <w:pPr>
        <w:jc w:val="both"/>
      </w:pPr>
      <w:r>
        <w:t>V súvislosti so zdrojmi tepla vymedzenými týmto Oznámením uvažujeme o n</w:t>
      </w:r>
      <w:r w:rsidRPr="00075D6B">
        <w:t>asledujúc</w:t>
      </w:r>
      <w:r>
        <w:t>ich</w:t>
      </w:r>
      <w:r w:rsidRPr="00075D6B">
        <w:t xml:space="preserve"> </w:t>
      </w:r>
      <w:r>
        <w:t xml:space="preserve">skupinách </w:t>
      </w:r>
      <w:r w:rsidRPr="00075D6B">
        <w:t xml:space="preserve">tuhého </w:t>
      </w:r>
      <w:r>
        <w:t xml:space="preserve">paliva z biomasy:   </w:t>
      </w:r>
    </w:p>
    <w:p w:rsidR="002511D8" w:rsidRPr="00CC3E0C" w:rsidRDefault="002511D8" w:rsidP="002511D8">
      <w:pPr>
        <w:pStyle w:val="Odsekzoznamu"/>
        <w:numPr>
          <w:ilvl w:val="0"/>
          <w:numId w:val="2"/>
        </w:numPr>
        <w:spacing w:after="165" w:line="253" w:lineRule="auto"/>
        <w:contextualSpacing/>
        <w:jc w:val="both"/>
      </w:pPr>
      <w:r w:rsidRPr="00CC3E0C">
        <w:t>brikety z drevnej biomasy (s max. vlhkosťou 12 % (M12) a max. obsahom popola 1,5 % (A1.5))</w:t>
      </w:r>
      <w:r>
        <w:t>,</w:t>
      </w:r>
    </w:p>
    <w:p w:rsidR="002511D8" w:rsidRPr="00CC3E0C" w:rsidRDefault="002511D8" w:rsidP="002511D8">
      <w:pPr>
        <w:pStyle w:val="Odsekzoznamu"/>
        <w:numPr>
          <w:ilvl w:val="0"/>
          <w:numId w:val="2"/>
        </w:numPr>
        <w:spacing w:after="165" w:line="253" w:lineRule="auto"/>
        <w:contextualSpacing/>
        <w:jc w:val="both"/>
      </w:pPr>
      <w:r w:rsidRPr="00CC3E0C">
        <w:t>pelety z drevnej biomasy (s max. vlhkosťou 12 % (M12) a max. obsahom popola 1,5 % (A1.5))</w:t>
      </w:r>
      <w:r>
        <w:t>,</w:t>
      </w:r>
    </w:p>
    <w:p w:rsidR="002511D8" w:rsidRPr="00CC3E0C" w:rsidRDefault="002511D8" w:rsidP="002511D8">
      <w:pPr>
        <w:pStyle w:val="Odsekzoznamu"/>
        <w:numPr>
          <w:ilvl w:val="0"/>
          <w:numId w:val="2"/>
        </w:numPr>
        <w:spacing w:after="165" w:line="253" w:lineRule="auto"/>
        <w:contextualSpacing/>
        <w:jc w:val="both"/>
      </w:pPr>
      <w:r w:rsidRPr="00CC3E0C">
        <w:t>drevné štiepky a drvené palivové drevo (s max. vlhkosťou 35 % (M35) a max. obsahom popola 3 % (A3.0))</w:t>
      </w:r>
      <w:r>
        <w:t>,</w:t>
      </w:r>
    </w:p>
    <w:p w:rsidR="002511D8" w:rsidRPr="00CC3E0C" w:rsidRDefault="002511D8" w:rsidP="002511D8">
      <w:pPr>
        <w:pStyle w:val="Odsekzoznamu"/>
        <w:numPr>
          <w:ilvl w:val="0"/>
          <w:numId w:val="2"/>
        </w:numPr>
        <w:spacing w:after="165" w:line="253" w:lineRule="auto"/>
        <w:contextualSpacing/>
        <w:jc w:val="both"/>
      </w:pPr>
      <w:r w:rsidRPr="00CC3E0C">
        <w:t>kmeňové drevo/guľatina, polenové drevo, palivové drevo (s max. vlhkosťou 25 % (M25)</w:t>
      </w:r>
      <w:r>
        <w:t>,</w:t>
      </w:r>
      <w:r w:rsidRPr="00CC3E0C">
        <w:t xml:space="preserve"> </w:t>
      </w:r>
    </w:p>
    <w:p w:rsidR="002511D8" w:rsidRPr="00CC3E0C" w:rsidRDefault="002511D8" w:rsidP="002511D8">
      <w:pPr>
        <w:pStyle w:val="Odsekzoznamu"/>
        <w:numPr>
          <w:ilvl w:val="0"/>
          <w:numId w:val="2"/>
        </w:numPr>
        <w:spacing w:after="165" w:line="253" w:lineRule="auto"/>
        <w:contextualSpacing/>
        <w:jc w:val="both"/>
      </w:pPr>
      <w:r w:rsidRPr="00CC3E0C">
        <w:t>drevné piliny (s max. vlhkosťou 35 % (M35) a max. obsahom popola 3 % (A3.0))</w:t>
      </w:r>
      <w:r>
        <w:t>,</w:t>
      </w:r>
    </w:p>
    <w:p w:rsidR="002511D8" w:rsidRPr="00CC3E0C" w:rsidRDefault="002511D8" w:rsidP="002511D8">
      <w:pPr>
        <w:pStyle w:val="Odsekzoznamu"/>
        <w:numPr>
          <w:ilvl w:val="0"/>
          <w:numId w:val="2"/>
        </w:numPr>
        <w:spacing w:after="165" w:line="253" w:lineRule="auto"/>
        <w:contextualSpacing/>
        <w:jc w:val="both"/>
      </w:pPr>
      <w:r w:rsidRPr="00CC3E0C">
        <w:t>drevné hobliny (s max. vlhkosťou 35 % (M35) a max. obsahom popola 3 % (A3.0))</w:t>
      </w:r>
      <w:r>
        <w:t>,</w:t>
      </w:r>
    </w:p>
    <w:p w:rsidR="002511D8" w:rsidRPr="00CC3E0C" w:rsidRDefault="002511D8" w:rsidP="002511D8">
      <w:pPr>
        <w:pStyle w:val="Odsekzoznamu"/>
        <w:numPr>
          <w:ilvl w:val="0"/>
          <w:numId w:val="2"/>
        </w:numPr>
        <w:spacing w:after="165" w:line="253" w:lineRule="auto"/>
        <w:contextualSpacing/>
        <w:jc w:val="both"/>
      </w:pPr>
      <w:r w:rsidRPr="00CC3E0C">
        <w:lastRenderedPageBreak/>
        <w:t>drevené uhlie (s max. vlhkosťou 10 % (M10) a max. obsahom popola 8 % (A8.0))</w:t>
      </w:r>
      <w:r>
        <w:t>,</w:t>
      </w:r>
    </w:p>
    <w:p w:rsidR="002511D8" w:rsidRPr="00CC3E0C" w:rsidRDefault="002511D8" w:rsidP="002523AB">
      <w:pPr>
        <w:pStyle w:val="Odsekzoznamu"/>
        <w:numPr>
          <w:ilvl w:val="0"/>
          <w:numId w:val="2"/>
        </w:numPr>
        <w:contextualSpacing/>
        <w:jc w:val="both"/>
      </w:pPr>
      <w:r w:rsidRPr="00CC3E0C">
        <w:t xml:space="preserve">tepelne upravená drevná biomasa (s max. vlhkosťou 10 % (M10) a max. obsahom popola </w:t>
      </w:r>
      <w:r w:rsidR="002523AB">
        <w:br/>
      </w:r>
      <w:r w:rsidRPr="00CC3E0C">
        <w:t>5 % (A5.0))</w:t>
      </w:r>
      <w:r>
        <w:t>.</w:t>
      </w:r>
    </w:p>
    <w:p w:rsidR="002511D8" w:rsidRPr="00377FC3" w:rsidRDefault="002511D8" w:rsidP="002523AB">
      <w:pPr>
        <w:jc w:val="both"/>
      </w:pPr>
    </w:p>
    <w:p w:rsidR="002511D8" w:rsidRPr="004E6FD2" w:rsidRDefault="002511D8" w:rsidP="002523AB">
      <w:pPr>
        <w:jc w:val="both"/>
      </w:pPr>
      <w:r w:rsidRPr="004E6FD2">
        <w:rPr>
          <w:u w:val="single"/>
        </w:rPr>
        <w:t>Zhutnené palivo z biomasy, zlisované palivo z biomasy</w:t>
      </w:r>
      <w:r w:rsidRPr="004E6FD2">
        <w:t xml:space="preserve"> je tuhé palivo z biomasy vyrobené mechanickým zlisovaním biomasy na zvýšenie jeho hustoty a vyformovanie paliva do určitých rozmerov a tvarov takých ako kocky, stlačené polená, biopalivové pelety, biopalivové brikety.</w:t>
      </w:r>
    </w:p>
    <w:p w:rsidR="002511D8" w:rsidRPr="003C6931" w:rsidRDefault="002511D8" w:rsidP="002511D8">
      <w:pPr>
        <w:jc w:val="both"/>
      </w:pPr>
    </w:p>
    <w:p w:rsidR="002511D8" w:rsidRDefault="002511D8" w:rsidP="002511D8">
      <w:pPr>
        <w:jc w:val="both"/>
      </w:pPr>
      <w:r w:rsidRPr="00377FC3">
        <w:rPr>
          <w:u w:val="single"/>
        </w:rPr>
        <w:t>Briketa</w:t>
      </w:r>
      <w:r w:rsidRPr="003C6931">
        <w:t xml:space="preserve"> je kváder, valec alebo hranol s n-uholníkovou podstavou z tuhého alternatívneho paliva vyrobený aglomeráciou sypkého materiálu.</w:t>
      </w:r>
      <w:r>
        <w:t xml:space="preserve"> Brikety väčších rozmerov môžu mať v strede otvor.</w:t>
      </w:r>
    </w:p>
    <w:p w:rsidR="002511D8" w:rsidRPr="003C6931" w:rsidRDefault="002511D8" w:rsidP="002511D8">
      <w:pPr>
        <w:jc w:val="both"/>
      </w:pPr>
    </w:p>
    <w:p w:rsidR="002511D8" w:rsidRPr="004E6FD2" w:rsidRDefault="002511D8" w:rsidP="002523AB">
      <w:pPr>
        <w:jc w:val="both"/>
      </w:pPr>
      <w:r w:rsidRPr="004E6FD2">
        <w:rPr>
          <w:u w:val="single"/>
        </w:rPr>
        <w:t>Biopalivová briketa</w:t>
      </w:r>
      <w:r w:rsidRPr="004E6FD2">
        <w:t xml:space="preserve">  je zhutnené palivo z biomasy vyrobené s lisovacími prísadami (aditívami) alebo bez nich vo forme kvádrov, valcov alebo hranolov s n-uholníkovou podstavou, získané lisovaním biomasy vhodnej frakcie a vlhkosti.</w:t>
      </w:r>
    </w:p>
    <w:p w:rsidR="002511D8" w:rsidRPr="003C6931" w:rsidRDefault="002511D8" w:rsidP="002511D8">
      <w:pPr>
        <w:jc w:val="both"/>
      </w:pPr>
    </w:p>
    <w:p w:rsidR="002511D8" w:rsidRDefault="002511D8" w:rsidP="002511D8">
      <w:pPr>
        <w:jc w:val="both"/>
      </w:pPr>
      <w:r w:rsidRPr="00377FC3">
        <w:rPr>
          <w:u w:val="single"/>
        </w:rPr>
        <w:t>Peleta</w:t>
      </w:r>
      <w:r w:rsidRPr="003C6931">
        <w:t xml:space="preserve"> je kúsok tuhého alternatívneho paliva vyrobený aglomeráciou sypkého materiálu v lisovacej forme, v disku alebo v bubne.</w:t>
      </w:r>
    </w:p>
    <w:p w:rsidR="002511D8" w:rsidRPr="003C6931" w:rsidRDefault="002511D8" w:rsidP="002511D8">
      <w:pPr>
        <w:jc w:val="both"/>
      </w:pPr>
    </w:p>
    <w:p w:rsidR="002511D8" w:rsidRPr="004E6FD2" w:rsidRDefault="002511D8" w:rsidP="0050721F">
      <w:pPr>
        <w:jc w:val="both"/>
      </w:pPr>
      <w:r w:rsidRPr="004E6FD2">
        <w:rPr>
          <w:u w:val="single"/>
        </w:rPr>
        <w:t>Biopalivová peleta</w:t>
      </w:r>
      <w:r w:rsidRPr="004E6FD2">
        <w:t xml:space="preserve"> je zhutnené palivo z biomasy vyrobené z práškovej biomasy s lisovacími prísadami alebo bez lisovacích prísad bežne valcovitého tvaru, náhodnej dĺžky, štandardne s priemerom od 5 mm do 30 mm s ulomenými koncami.</w:t>
      </w:r>
    </w:p>
    <w:p w:rsidR="002511D8" w:rsidRPr="003C6931" w:rsidRDefault="002511D8" w:rsidP="002511D8">
      <w:pPr>
        <w:jc w:val="both"/>
      </w:pPr>
    </w:p>
    <w:p w:rsidR="002511D8" w:rsidRPr="003C6931" w:rsidRDefault="002511D8" w:rsidP="002511D8">
      <w:pPr>
        <w:pStyle w:val="Zkladntext3"/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Drevné</w:t>
      </w:r>
      <w:r w:rsidRPr="00377FC3">
        <w:rPr>
          <w:sz w:val="24"/>
          <w:szCs w:val="24"/>
          <w:u w:val="single"/>
        </w:rPr>
        <w:t xml:space="preserve"> štiepk</w:t>
      </w:r>
      <w:r>
        <w:rPr>
          <w:sz w:val="24"/>
          <w:szCs w:val="24"/>
          <w:u w:val="single"/>
        </w:rPr>
        <w:t>y</w:t>
      </w:r>
      <w:r w:rsidRPr="003C6931">
        <w:rPr>
          <w:b/>
          <w:sz w:val="24"/>
          <w:szCs w:val="24"/>
        </w:rPr>
        <w:t xml:space="preserve"> </w:t>
      </w:r>
      <w:r w:rsidRPr="003C6931">
        <w:rPr>
          <w:sz w:val="24"/>
          <w:szCs w:val="24"/>
        </w:rPr>
        <w:t xml:space="preserve"> je palivo vyrobené štiepkovaním drevn</w:t>
      </w:r>
      <w:r>
        <w:rPr>
          <w:sz w:val="24"/>
          <w:szCs w:val="24"/>
        </w:rPr>
        <w:t>ej</w:t>
      </w:r>
      <w:r w:rsidRPr="003C6931">
        <w:rPr>
          <w:sz w:val="24"/>
          <w:szCs w:val="24"/>
        </w:rPr>
        <w:t xml:space="preserve"> </w:t>
      </w:r>
      <w:r>
        <w:rPr>
          <w:sz w:val="24"/>
          <w:szCs w:val="24"/>
        </w:rPr>
        <w:t>biomasy</w:t>
      </w:r>
      <w:r w:rsidRPr="003C6931">
        <w:rPr>
          <w:sz w:val="24"/>
          <w:szCs w:val="24"/>
        </w:rPr>
        <w:t xml:space="preserve">, napr. tenčiny   </w:t>
      </w:r>
      <w:r w:rsidRPr="003C6931">
        <w:rPr>
          <w:sz w:val="24"/>
          <w:szCs w:val="24"/>
        </w:rPr>
        <w:br/>
        <w:t xml:space="preserve">z prerieďovania porastov alebo konárov, a ktoré má vlastnosti palivového dreva. </w:t>
      </w:r>
    </w:p>
    <w:p w:rsidR="002511D8" w:rsidRDefault="002511D8" w:rsidP="002511D8">
      <w:pPr>
        <w:pStyle w:val="Zkladntext"/>
        <w:tabs>
          <w:tab w:val="left" w:pos="360"/>
        </w:tabs>
        <w:jc w:val="both"/>
      </w:pP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  <w:r w:rsidRPr="00F55895">
        <w:rPr>
          <w:color w:val="auto"/>
          <w:u w:val="single"/>
        </w:rPr>
        <w:t>Kotol na tuhé palivo</w:t>
      </w:r>
      <w:r w:rsidRPr="00F55895">
        <w:rPr>
          <w:color w:val="auto"/>
        </w:rPr>
        <w:t xml:space="preserve"> je zariadenie vybavené jedným alebo viacerými zdrojmi tepla, ktoré poskytuje teplo pre teplovodné systémy ústredného vykurovania s cieľom dosiahnuť a udržiavať na požadovanej úrovni vnútornú teplotu jedného alebo viacerých uzavretých priestorov so stratou tepla do svojho okolitého prostredia nie viac ako 6 % menovitého tepelného výkonu.</w:t>
      </w: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  <w:u w:val="single"/>
        </w:rPr>
      </w:pP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  <w:r w:rsidRPr="00F55895">
        <w:rPr>
          <w:color w:val="auto"/>
          <w:u w:val="single"/>
        </w:rPr>
        <w:t>Kotol na biomasu</w:t>
      </w:r>
      <w:r w:rsidRPr="00F55895">
        <w:rPr>
          <w:color w:val="auto"/>
        </w:rPr>
        <w:t xml:space="preserve"> je kotol na tuhé palivo, ktorý ako uprednostňované palivo používa biomasu.</w:t>
      </w: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  <w:r w:rsidRPr="00F55895">
        <w:rPr>
          <w:color w:val="auto"/>
          <w:u w:val="single"/>
        </w:rPr>
        <w:t>Kotol na nedrevnú biomasu</w:t>
      </w:r>
      <w:r w:rsidRPr="00F55895">
        <w:rPr>
          <w:color w:val="auto"/>
        </w:rPr>
        <w:t xml:space="preserve"> je kotol na biomasu, ktorý ako uprednostňované palivo používa nedrevnú biomasu, a v prípade ktorého nie sú drevná biomasa, fosílne palivo alebo zmes biomasy a fosílneho paliva uvedené v zozname iných vhodných palív.</w:t>
      </w: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</w:p>
    <w:p w:rsidR="002511D8" w:rsidRPr="0050721F" w:rsidRDefault="002511D8" w:rsidP="0050721F">
      <w:pPr>
        <w:pStyle w:val="Default"/>
        <w:jc w:val="both"/>
        <w:rPr>
          <w:color w:val="auto"/>
          <w:lang w:val="sk-SK"/>
        </w:rPr>
      </w:pPr>
      <w:r w:rsidRPr="00F55895">
        <w:rPr>
          <w:color w:val="auto"/>
          <w:u w:val="single"/>
          <w:lang w:val="x-none"/>
        </w:rPr>
        <w:t>K</w:t>
      </w:r>
      <w:r w:rsidRPr="00F55895">
        <w:rPr>
          <w:color w:val="auto"/>
          <w:u w:val="single"/>
        </w:rPr>
        <w:t>ogeneračný kotol na tuhé palivo</w:t>
      </w:r>
      <w:r w:rsidRPr="00F55895">
        <w:rPr>
          <w:color w:val="auto"/>
        </w:rPr>
        <w:t xml:space="preserve"> je </w:t>
      </w:r>
      <w:r w:rsidRPr="0050721F">
        <w:rPr>
          <w:color w:val="auto"/>
          <w:lang w:val="sk-SK"/>
        </w:rPr>
        <w:t>kotol</w:t>
      </w:r>
      <w:r w:rsidRPr="00F55895">
        <w:rPr>
          <w:color w:val="auto"/>
        </w:rPr>
        <w:t xml:space="preserve"> na tuhé palivo, </w:t>
      </w:r>
      <w:r w:rsidRPr="0050721F">
        <w:rPr>
          <w:color w:val="auto"/>
          <w:lang w:val="sk-SK"/>
        </w:rPr>
        <w:t>ktorý je schopný súčasne vyrábať teplo aj elektrinu.</w:t>
      </w:r>
    </w:p>
    <w:p w:rsidR="002511D8" w:rsidRDefault="002511D8" w:rsidP="002511D8">
      <w:pPr>
        <w:pStyle w:val="Default"/>
        <w:rPr>
          <w:color w:val="auto"/>
        </w:rPr>
      </w:pPr>
    </w:p>
    <w:p w:rsidR="002511D8" w:rsidRPr="00CC3E0C" w:rsidRDefault="002511D8" w:rsidP="002511D8">
      <w:pPr>
        <w:ind w:left="-5"/>
        <w:jc w:val="both"/>
        <w:rPr>
          <w:b/>
          <w:iCs/>
        </w:rPr>
      </w:pPr>
      <w:r w:rsidRPr="00E11474">
        <w:rPr>
          <w:bCs/>
          <w:iCs/>
          <w:u w:val="single"/>
        </w:rPr>
        <w:t>Kondenzačný kotol na tuhé palivo:</w:t>
      </w:r>
      <w:r w:rsidRPr="00CC3E0C">
        <w:rPr>
          <w:b/>
          <w:iCs/>
        </w:rPr>
        <w:t xml:space="preserve"> </w:t>
      </w:r>
      <w:r w:rsidRPr="00E11474">
        <w:rPr>
          <w:bCs/>
          <w:iCs/>
        </w:rPr>
        <w:t>je kotol na tuhé palivo, v ktorom pri bežných prevádzkových podmienkach a pri daných prevádzkových teplotách vody dochádza k čiastočnej kondenzácii vodnej pary v spalinách s cieľom využiť latentné teplo tejto vodnej pary na účely vykurovania</w:t>
      </w:r>
      <w:r>
        <w:rPr>
          <w:bCs/>
          <w:iCs/>
        </w:rPr>
        <w:t>.</w:t>
      </w: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  <w:r w:rsidRPr="00F55895">
        <w:rPr>
          <w:color w:val="auto"/>
          <w:u w:val="single"/>
        </w:rPr>
        <w:t>Lokálny ohrievač priestoru na tuhé palivo</w:t>
      </w:r>
      <w:r w:rsidRPr="00F55895">
        <w:rPr>
          <w:color w:val="auto"/>
        </w:rPr>
        <w:t xml:space="preserve"> je zariadenie na ohrievanie priestoru, ktoré vydáva teplo priamym prenosom tepla alebo priamym prenosom tepla v kombinácii s prenosom tepla do kvapaliny, s cieľom dosiahnuť a udržiavať určitú tepelnú pohodu ľudí v uzavretom priestore, v ktorom je výrobok umiestnený, prípadne v kombinácii s vydávaním tepla do iných priestorov, a ktorý je vybavený jedným alebo viacerými zdrojmi tepla, ktoré na teplo priamo premieňajú tuhé palivá.</w:t>
      </w: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  <w:r w:rsidRPr="00F55895">
        <w:rPr>
          <w:color w:val="auto"/>
          <w:u w:val="single"/>
        </w:rPr>
        <w:lastRenderedPageBreak/>
        <w:t>Lokálny ohrievač priestoru na tuhé palivo bez spalín</w:t>
      </w:r>
      <w:r w:rsidRPr="00F55895">
        <w:rPr>
          <w:color w:val="auto"/>
        </w:rPr>
        <w:t xml:space="preserve"> je lokálny ohrievač priestoru na tuhé palivo, ktorý vydáva spaliny do priestoru, kde je umiestnený.</w:t>
      </w: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  <w:r w:rsidRPr="00F55895">
        <w:rPr>
          <w:color w:val="auto"/>
          <w:u w:val="single"/>
        </w:rPr>
        <w:t>Lokálny ohrievač priestoru na tuhé palivo otvorený do komína</w:t>
      </w:r>
      <w:r w:rsidRPr="00F55895">
        <w:rPr>
          <w:color w:val="auto"/>
        </w:rPr>
        <w:t xml:space="preserve"> je lokálny ohrievač priestoru na tuhé palivo určený na umiestnenie pod komínom alebo v kozube bez pevného oddelenia výrobku od otvoru komína alebo kozuba, ktorý umožňuje neobmedzený prenos spalín z ohniska do komína alebo potrubia.</w:t>
      </w: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  <w:r w:rsidRPr="00F55895">
        <w:rPr>
          <w:color w:val="auto"/>
          <w:u w:val="single"/>
        </w:rPr>
        <w:t>Spredu otvorený lokálny ohrievač priestoru na tuhé palivo</w:t>
      </w:r>
      <w:r w:rsidRPr="00F55895">
        <w:rPr>
          <w:color w:val="auto"/>
        </w:rPr>
        <w:t xml:space="preserve"> je lokálny ohrievač priestoru využívajúci tuhé palivo, ktorého ohnisko a spaliny nie sú pevne oddelené od priestoru, kde je výrobok inštalovaný, a ktorý je pripojený k otvoru komína alebo kozuba, alebo si vyžaduje potrubie na odvod spalín.</w:t>
      </w:r>
    </w:p>
    <w:p w:rsidR="002511D8" w:rsidRPr="005A5325" w:rsidRDefault="002511D8" w:rsidP="002511D8">
      <w:pPr>
        <w:pStyle w:val="Zkladntext"/>
        <w:tabs>
          <w:tab w:val="left" w:pos="360"/>
        </w:tabs>
        <w:jc w:val="both"/>
        <w:rPr>
          <w:color w:val="FF0000"/>
        </w:rPr>
      </w:pP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  <w:r w:rsidRPr="00F55895">
        <w:rPr>
          <w:color w:val="auto"/>
          <w:u w:val="single"/>
        </w:rPr>
        <w:t>Spredu zatvorený lokálny ohrievač priestoru na tuhé palivo</w:t>
      </w:r>
      <w:r w:rsidRPr="00F55895">
        <w:rPr>
          <w:color w:val="auto"/>
        </w:rPr>
        <w:t xml:space="preserve"> je lokálny ohrievač priestoru využívajúci tuhé palivo, ktorého ohnisko a spaliny možno pevne oddeliť od priestoru, kde je výrobok inštalovaný, a ktorý je pripojený k otvoru komína alebo kozuba, alebo si vyžaduje potrubie na odvod spalín.</w:t>
      </w: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  <w:r w:rsidRPr="00F55895">
        <w:rPr>
          <w:color w:val="auto"/>
          <w:u w:val="single"/>
        </w:rPr>
        <w:t>Varič</w:t>
      </w:r>
      <w:r w:rsidRPr="00F55895">
        <w:rPr>
          <w:color w:val="auto"/>
        </w:rPr>
        <w:t xml:space="preserve"> je lokálny ohrievač priestoru využívajúci tuhé palivo, ktorý v jednom celku spája funkciu lokálneho ohrievača priestoru na tuhé palivo a rúry na pečenie, varnej dosky alebo oboch týchto zariadení, aby sa dal použiť na prípravu jedla, a ktorý je pripojený k otvoru komína alebo kozuba, alebo si vyžaduje potrubie na odvod spalín.</w:t>
      </w: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</w:p>
    <w:p w:rsidR="002511D8" w:rsidRPr="00F55895" w:rsidRDefault="002511D8" w:rsidP="002511D8">
      <w:pPr>
        <w:pStyle w:val="Zkladntext"/>
        <w:tabs>
          <w:tab w:val="left" w:pos="360"/>
        </w:tabs>
        <w:jc w:val="both"/>
        <w:rPr>
          <w:color w:val="auto"/>
        </w:rPr>
      </w:pPr>
      <w:r w:rsidRPr="00F55895">
        <w:rPr>
          <w:color w:val="auto"/>
          <w:u w:val="single"/>
        </w:rPr>
        <w:t>Uprednostňované palivo</w:t>
      </w:r>
      <w:r w:rsidRPr="00F55895">
        <w:rPr>
          <w:color w:val="auto"/>
        </w:rPr>
        <w:t xml:space="preserve"> je jedno tuhé palivo, v prípade ktorého sa uprednostňuje jeho používanie v kotle podľa pokynov výrobcu.</w:t>
      </w:r>
    </w:p>
    <w:p w:rsidR="002511D8" w:rsidRPr="003C6931" w:rsidRDefault="002511D8" w:rsidP="002511D8">
      <w:pPr>
        <w:jc w:val="both"/>
        <w:rPr>
          <w:b/>
        </w:rPr>
      </w:pPr>
    </w:p>
    <w:p w:rsidR="002511D8" w:rsidRDefault="002511D8" w:rsidP="002511D8">
      <w:pPr>
        <w:jc w:val="both"/>
      </w:pPr>
      <w:r w:rsidRPr="00377FC3">
        <w:rPr>
          <w:u w:val="single"/>
        </w:rPr>
        <w:t>Odporúčané palivo</w:t>
      </w:r>
      <w:r w:rsidRPr="003C6931">
        <w:t xml:space="preserve"> je palivo obchodnej akosti uvedené v návode výrobcu spotrebiča, s ktorým sa pri skúškach spotrebičov dosiahne požadovaný tepelný výkon.</w:t>
      </w:r>
    </w:p>
    <w:p w:rsidR="002511D8" w:rsidRPr="003C6931" w:rsidRDefault="002511D8" w:rsidP="002511D8">
      <w:pPr>
        <w:jc w:val="both"/>
        <w:rPr>
          <w:b/>
        </w:rPr>
      </w:pPr>
    </w:p>
    <w:p w:rsidR="002511D8" w:rsidRDefault="002511D8" w:rsidP="002511D8">
      <w:pPr>
        <w:jc w:val="both"/>
        <w:rPr>
          <w:bCs/>
        </w:rPr>
      </w:pPr>
      <w:r w:rsidRPr="00377FC3">
        <w:rPr>
          <w:bCs/>
          <w:u w:val="single"/>
        </w:rPr>
        <w:t>Spaliny</w:t>
      </w:r>
      <w:r w:rsidRPr="005F3E68">
        <w:rPr>
          <w:bCs/>
        </w:rPr>
        <w:t xml:space="preserve"> </w:t>
      </w:r>
      <w:r w:rsidRPr="003C6931">
        <w:rPr>
          <w:bCs/>
        </w:rPr>
        <w:t>predstavujú produkt spaľovacieho procesu, ktorý je zo spotrebiča odvádzaný hrdlom pre odvádzanie spalín do dymovodu.</w:t>
      </w:r>
    </w:p>
    <w:p w:rsidR="002511D8" w:rsidRPr="003C6931" w:rsidRDefault="002511D8" w:rsidP="002511D8">
      <w:pPr>
        <w:jc w:val="both"/>
        <w:rPr>
          <w:b/>
        </w:rPr>
      </w:pPr>
    </w:p>
    <w:p w:rsidR="002511D8" w:rsidRDefault="002511D8" w:rsidP="002511D8">
      <w:pPr>
        <w:jc w:val="both"/>
      </w:pPr>
      <w:r w:rsidRPr="00377FC3">
        <w:rPr>
          <w:bCs/>
          <w:u w:val="single"/>
        </w:rPr>
        <w:t>Prevádzková teplota</w:t>
      </w:r>
      <w:r w:rsidRPr="003C6931">
        <w:rPr>
          <w:bCs/>
        </w:rPr>
        <w:t xml:space="preserve"> je </w:t>
      </w:r>
      <w:r w:rsidRPr="003C6931">
        <w:t>rozsah teploty, pri ktorej kotol môže pracovať za normálnych prevádzkových podmienok pri nastavení teploty vody na bezpečnostnom zariadení a pri podmienkach stanovených výrobcom.</w:t>
      </w:r>
    </w:p>
    <w:p w:rsidR="002511D8" w:rsidRPr="00F55895" w:rsidRDefault="002511D8" w:rsidP="002511D8">
      <w:pPr>
        <w:jc w:val="both"/>
        <w:rPr>
          <w:b/>
        </w:rPr>
      </w:pPr>
    </w:p>
    <w:p w:rsidR="002511D8" w:rsidRDefault="002511D8" w:rsidP="002511D8">
      <w:pPr>
        <w:jc w:val="both"/>
        <w:rPr>
          <w:b/>
          <w:bCs/>
        </w:rPr>
      </w:pPr>
      <w:r w:rsidRPr="00F55895">
        <w:rPr>
          <w:bCs/>
          <w:u w:val="single"/>
        </w:rPr>
        <w:t>Menovitý tepelný výkon</w:t>
      </w:r>
      <w:r>
        <w:rPr>
          <w:bCs/>
          <w:u w:val="single"/>
        </w:rPr>
        <w:t xml:space="preserve"> </w:t>
      </w:r>
      <w:r w:rsidRPr="007666FC">
        <w:rPr>
          <w:bCs/>
        </w:rPr>
        <w:t>je najvyšší tepelný výkon stanovený výrobcom pre určitý druh paliva vyjadrený vo Wattoch (W).</w:t>
      </w:r>
      <w:r w:rsidRPr="00F55895">
        <w:rPr>
          <w:b/>
          <w:bCs/>
        </w:rPr>
        <w:t xml:space="preserve">  </w:t>
      </w:r>
    </w:p>
    <w:p w:rsidR="007666FC" w:rsidRPr="00F55895" w:rsidRDefault="007666FC" w:rsidP="002511D8">
      <w:pPr>
        <w:jc w:val="both"/>
        <w:rPr>
          <w:b/>
        </w:rPr>
      </w:pPr>
    </w:p>
    <w:p w:rsidR="002511D8" w:rsidRDefault="002511D8" w:rsidP="002511D8">
      <w:pPr>
        <w:jc w:val="both"/>
        <w:rPr>
          <w:bCs/>
        </w:rPr>
      </w:pPr>
      <w:r w:rsidRPr="00F55895">
        <w:rPr>
          <w:bCs/>
          <w:u w:val="single"/>
        </w:rPr>
        <w:t xml:space="preserve">Minimálny tepelný </w:t>
      </w:r>
      <w:r w:rsidRPr="007666FC">
        <w:rPr>
          <w:bCs/>
          <w:u w:val="single"/>
        </w:rPr>
        <w:t>výkon</w:t>
      </w:r>
      <w:r w:rsidRPr="007666FC">
        <w:rPr>
          <w:bCs/>
        </w:rPr>
        <w:t xml:space="preserve"> </w:t>
      </w:r>
      <w:r w:rsidRPr="007666FC">
        <w:rPr>
          <w:shd w:val="clear" w:color="auto" w:fill="FFFFFF"/>
        </w:rPr>
        <w:t>je najnižší tepelný výkon, ktorý je samočinne udržiavaný riadiacim prístrojom a je stanovený výrobcom pre každý druh paliva vyjadrený vo Wattoch (W).</w:t>
      </w:r>
      <w:r w:rsidRPr="007666FC" w:rsidDel="00317CE3">
        <w:rPr>
          <w:bCs/>
        </w:rPr>
        <w:t xml:space="preserve"> </w:t>
      </w:r>
    </w:p>
    <w:p w:rsidR="002511D8" w:rsidRDefault="002511D8" w:rsidP="002511D8">
      <w:pPr>
        <w:jc w:val="both"/>
        <w:rPr>
          <w:bCs/>
        </w:rPr>
      </w:pPr>
    </w:p>
    <w:p w:rsidR="002511D8" w:rsidRDefault="002511D8" w:rsidP="002511D8">
      <w:pPr>
        <w:jc w:val="both"/>
      </w:pPr>
      <w:r w:rsidRPr="00377FC3">
        <w:rPr>
          <w:bCs/>
          <w:u w:val="single"/>
        </w:rPr>
        <w:t>Tepelný príkon</w:t>
      </w:r>
      <w:r w:rsidRPr="003C6931">
        <w:rPr>
          <w:bCs/>
        </w:rPr>
        <w:t xml:space="preserve"> je </w:t>
      </w:r>
      <w:r w:rsidRPr="003C6931">
        <w:t>množstvo tepelnej energie uvoľnenej z paliva dodaného do spotrebiča za jednotku času</w:t>
      </w:r>
      <w:r>
        <w:t xml:space="preserve"> vyjadrený vo Wattoch (W)</w:t>
      </w:r>
      <w:r w:rsidRPr="003C6931">
        <w:t>.</w:t>
      </w:r>
    </w:p>
    <w:p w:rsidR="002511D8" w:rsidRPr="003C6931" w:rsidRDefault="002511D8" w:rsidP="002511D8">
      <w:pPr>
        <w:jc w:val="both"/>
        <w:rPr>
          <w:b/>
        </w:rPr>
      </w:pPr>
    </w:p>
    <w:p w:rsidR="002511D8" w:rsidRPr="00F55895" w:rsidRDefault="002511D8" w:rsidP="002511D8">
      <w:pPr>
        <w:jc w:val="both"/>
      </w:pPr>
      <w:r w:rsidRPr="00F55895">
        <w:rPr>
          <w:u w:val="single"/>
        </w:rPr>
        <w:t>Tepelný výkon</w:t>
      </w:r>
      <w:r w:rsidRPr="00F55895">
        <w:t xml:space="preserve"> je využiteľné teplo dodané kotlom za jednotku času vyjadrené vo Wattoch (W).</w:t>
      </w:r>
    </w:p>
    <w:p w:rsidR="002511D8" w:rsidRPr="00F55895" w:rsidRDefault="002511D8" w:rsidP="002511D8">
      <w:pPr>
        <w:jc w:val="both"/>
      </w:pPr>
    </w:p>
    <w:p w:rsidR="002511D8" w:rsidRPr="00F55895" w:rsidRDefault="002511D8" w:rsidP="002511D8">
      <w:pPr>
        <w:jc w:val="both"/>
      </w:pPr>
      <w:r w:rsidRPr="00F55895">
        <w:rPr>
          <w:u w:val="single"/>
        </w:rPr>
        <w:t>Užitočný tepelný výkon</w:t>
      </w:r>
      <w:r w:rsidRPr="00F55895">
        <w:t xml:space="preserve"> je tepelný výkon kotla na tuhé palivo odovzdaný teplonosnému médiu, vyjadrený v kW.</w:t>
      </w:r>
    </w:p>
    <w:p w:rsidR="002511D8" w:rsidRPr="00F55895" w:rsidRDefault="002511D8" w:rsidP="002511D8">
      <w:pPr>
        <w:jc w:val="both"/>
      </w:pPr>
    </w:p>
    <w:p w:rsidR="002511D8" w:rsidRPr="00F55895" w:rsidRDefault="002511D8" w:rsidP="002511D8">
      <w:pPr>
        <w:jc w:val="both"/>
      </w:pPr>
      <w:r w:rsidRPr="00F55895">
        <w:rPr>
          <w:u w:val="single"/>
        </w:rPr>
        <w:lastRenderedPageBreak/>
        <w:t>Užitočná účinnosť</w:t>
      </w:r>
      <w:r w:rsidRPr="00F55895">
        <w:t xml:space="preserve"> je pomer užitočného tepelného výkonu a celkového energetického príkonu kotla na tuhé palivo vyjadrený v %, pričom celkový energetický príkon sa vyjadruje ako </w:t>
      </w:r>
      <w:r w:rsidR="00515157">
        <w:t>spalné teplo</w:t>
      </w:r>
      <w:r w:rsidR="00515157">
        <w:t xml:space="preserve"> (</w:t>
      </w:r>
      <w:r w:rsidR="00515157" w:rsidRPr="00F55895">
        <w:t>GCV</w:t>
      </w:r>
      <w:r w:rsidR="00515157">
        <w:t>)</w:t>
      </w:r>
      <w:r w:rsidRPr="00F55895">
        <w:t xml:space="preserve"> alebo ako konečná energia vynásobená </w:t>
      </w:r>
      <w:r w:rsidR="00515157">
        <w:t>konverzným súčiniteľom</w:t>
      </w:r>
      <w:r w:rsidR="00515157" w:rsidRPr="00515157">
        <w:t xml:space="preserve"> </w:t>
      </w:r>
      <w:r w:rsidR="00515157">
        <w:t>(</w:t>
      </w:r>
      <w:r w:rsidR="00515157" w:rsidRPr="00F55895">
        <w:t>CC</w:t>
      </w:r>
      <w:r w:rsidR="00515157">
        <w:t>)</w:t>
      </w:r>
      <w:r w:rsidRPr="00F55895">
        <w:t>.</w:t>
      </w:r>
    </w:p>
    <w:p w:rsidR="002511D8" w:rsidRPr="00F55895" w:rsidRDefault="002511D8" w:rsidP="002511D8">
      <w:pPr>
        <w:jc w:val="both"/>
      </w:pPr>
    </w:p>
    <w:p w:rsidR="002511D8" w:rsidRPr="00F55895" w:rsidRDefault="002511D8" w:rsidP="002511D8">
      <w:pPr>
        <w:jc w:val="both"/>
      </w:pPr>
      <w:r w:rsidRPr="00F55895">
        <w:rPr>
          <w:u w:val="single"/>
        </w:rPr>
        <w:t>Užitočná účinnosť pri menovitom alebo minimálnom tepelnom výkone</w:t>
      </w:r>
      <w:r w:rsidRPr="00F55895">
        <w:t xml:space="preserve"> (η</w:t>
      </w:r>
      <w:r w:rsidRPr="00F55895">
        <w:rPr>
          <w:vertAlign w:val="subscript"/>
        </w:rPr>
        <w:t>th,nom</w:t>
      </w:r>
      <w:r w:rsidRPr="00F55895">
        <w:t xml:space="preserve"> alebo </w:t>
      </w:r>
      <w:r w:rsidRPr="00F55895">
        <w:rPr>
          <w:vertAlign w:val="subscript"/>
        </w:rPr>
        <w:t>ηth,min</w:t>
      </w:r>
      <w:r w:rsidRPr="00F55895">
        <w:t xml:space="preserve">) je pomer medzi užitočným tepelným výkonom a celkovým energetickým príkonom lokálneho ohrievača priestoru na tuhé palivo vyjadreným ako </w:t>
      </w:r>
      <w:r w:rsidR="00515157">
        <w:t>čistá výhrevnosť (</w:t>
      </w:r>
      <w:r w:rsidRPr="00F55895">
        <w:t>NCV</w:t>
      </w:r>
      <w:r w:rsidR="00515157">
        <w:t>)</w:t>
      </w:r>
      <w:r w:rsidRPr="00F55895">
        <w:t>, ktorý je vyjadrený v %.</w:t>
      </w:r>
    </w:p>
    <w:p w:rsidR="002511D8" w:rsidRPr="00F55895" w:rsidRDefault="002511D8" w:rsidP="002511D8">
      <w:pPr>
        <w:jc w:val="both"/>
      </w:pPr>
    </w:p>
    <w:p w:rsidR="002511D8" w:rsidRDefault="002511D8" w:rsidP="002511D8">
      <w:pPr>
        <w:jc w:val="both"/>
      </w:pPr>
      <w:r w:rsidRPr="00377FC3">
        <w:rPr>
          <w:bCs/>
          <w:u w:val="single"/>
        </w:rPr>
        <w:t>Účinnosť</w:t>
      </w:r>
      <w:r w:rsidRPr="003C6931">
        <w:rPr>
          <w:b/>
          <w:bCs/>
        </w:rPr>
        <w:t xml:space="preserve"> </w:t>
      </w:r>
      <w:r w:rsidRPr="003C6931">
        <w:rPr>
          <w:bCs/>
        </w:rPr>
        <w:t xml:space="preserve">je </w:t>
      </w:r>
      <w:r w:rsidRPr="003C6931">
        <w:t xml:space="preserve">pomer celkového tepelného výkonu k celkovému tepelnému príkonu vyjadrený </w:t>
      </w:r>
      <w:r w:rsidR="00810C9C">
        <w:br/>
      </w:r>
      <w:r w:rsidRPr="003C6931">
        <w:t>v percentách.</w:t>
      </w:r>
    </w:p>
    <w:p w:rsidR="002511D8" w:rsidRPr="00F55895" w:rsidRDefault="002511D8" w:rsidP="002511D8">
      <w:pPr>
        <w:jc w:val="both"/>
      </w:pPr>
    </w:p>
    <w:p w:rsidR="002511D8" w:rsidRPr="00F55895" w:rsidRDefault="002511D8" w:rsidP="002511D8">
      <w:pPr>
        <w:jc w:val="both"/>
      </w:pPr>
      <w:r w:rsidRPr="00F55895">
        <w:rPr>
          <w:u w:val="single"/>
        </w:rPr>
        <w:t>Sezónna energetická účinnosť vykurovania priestoru v aktívnom režime</w:t>
      </w:r>
      <w:r w:rsidRPr="00F55895">
        <w:t xml:space="preserve"> alebo η</w:t>
      </w:r>
      <w:r w:rsidRPr="00F55895">
        <w:rPr>
          <w:vertAlign w:val="subscript"/>
        </w:rPr>
        <w:t>son</w:t>
      </w:r>
      <w:r w:rsidRPr="00F55895">
        <w:t xml:space="preserve"> je:</w:t>
      </w:r>
    </w:p>
    <w:p w:rsidR="002511D8" w:rsidRPr="00F55895" w:rsidRDefault="002511D8" w:rsidP="002511D8">
      <w:pPr>
        <w:numPr>
          <w:ilvl w:val="0"/>
          <w:numId w:val="5"/>
        </w:numPr>
        <w:jc w:val="both"/>
      </w:pPr>
      <w:r w:rsidRPr="00F55895">
        <w:t>v prípade kotlov na tuhé palivo s automatickým prikladaním vážený priemer užitočnej účinnosti pri menovitom tepelnom výkone a užitočnej účinnosti pri 30 % menovitého tepelného výkonu, vyjadrený v %;</w:t>
      </w:r>
    </w:p>
    <w:p w:rsidR="002511D8" w:rsidRPr="00F55895" w:rsidRDefault="002511D8" w:rsidP="002511D8">
      <w:pPr>
        <w:numPr>
          <w:ilvl w:val="0"/>
          <w:numId w:val="5"/>
        </w:numPr>
        <w:jc w:val="both"/>
      </w:pPr>
      <w:r w:rsidRPr="00F55895">
        <w:t>v prípade kotlov na tuhé palivo s ručným prikladaním, ktoré možno prevádzkovať pri 50 % menovitého tepelného výkonu v nepretržitom režime, vážený priemer užitočnej účinnosti pri menovitom tepelnom výkone a užitočnej účinnosti pri 50 % menovitého tepelného výkonu, vyjadrený v %;</w:t>
      </w:r>
    </w:p>
    <w:p w:rsidR="002511D8" w:rsidRDefault="002511D8" w:rsidP="002511D8">
      <w:pPr>
        <w:numPr>
          <w:ilvl w:val="0"/>
          <w:numId w:val="5"/>
        </w:numPr>
        <w:jc w:val="both"/>
      </w:pPr>
      <w:r w:rsidRPr="00F55895">
        <w:t>v prípade kotlov na tuhé palivo s ručným prikladaním, ktoré nemožno prevádzkovať pri 50 % menovitého tepelného výkonu alebo menej v nepretržitom režime, užitočná účinnosť pri menovitom tepelnom výkone, vyjadrená v %;</w:t>
      </w:r>
    </w:p>
    <w:p w:rsidR="002511D8" w:rsidRPr="00D133A2" w:rsidRDefault="002511D8" w:rsidP="002511D8">
      <w:pPr>
        <w:numPr>
          <w:ilvl w:val="0"/>
          <w:numId w:val="5"/>
        </w:numPr>
        <w:jc w:val="both"/>
      </w:pPr>
      <w:r w:rsidRPr="00D133A2">
        <w:rPr>
          <w:shd w:val="clear" w:color="auto" w:fill="FFFFFF"/>
        </w:rPr>
        <w:t>v prípade kogeneračných kotlov na tuhé palivo užitočná účinnosť pri menovitom tepelnom výkone, vyjadrená v %</w:t>
      </w:r>
    </w:p>
    <w:p w:rsidR="002511D8" w:rsidRPr="00F55895" w:rsidRDefault="002511D8" w:rsidP="002511D8">
      <w:pPr>
        <w:jc w:val="both"/>
        <w:rPr>
          <w:b/>
        </w:rPr>
      </w:pPr>
    </w:p>
    <w:p w:rsidR="002511D8" w:rsidRPr="00F55895" w:rsidRDefault="002511D8" w:rsidP="002511D8">
      <w:pPr>
        <w:jc w:val="both"/>
      </w:pPr>
      <w:r w:rsidRPr="00F55895">
        <w:rPr>
          <w:u w:val="single"/>
        </w:rPr>
        <w:t xml:space="preserve">Sezónna energetická účinnosť vykurovania </w:t>
      </w:r>
      <w:r w:rsidRPr="0012684B">
        <w:rPr>
          <w:u w:val="single"/>
        </w:rPr>
        <w:t>priestoru</w:t>
      </w:r>
      <w:r w:rsidRPr="000E22F3">
        <w:rPr>
          <w:u w:val="single"/>
        </w:rPr>
        <w:t xml:space="preserve"> alebo η</w:t>
      </w:r>
      <w:r w:rsidRPr="000E22F3">
        <w:rPr>
          <w:u w:val="single"/>
          <w:vertAlign w:val="subscript"/>
        </w:rPr>
        <w:t>s</w:t>
      </w:r>
      <w:r w:rsidRPr="00F55895">
        <w:t xml:space="preserve"> je pomer medzi potrebou vykurovaného priestoru dodávanou lokálnym ohrievačom priestoru na tuhé palivo a ročnou spotrebou energie potrebnou na uspokojenie tejto potreby, vyjadrený v %.</w:t>
      </w:r>
    </w:p>
    <w:p w:rsidR="002511D8" w:rsidRPr="003C6931" w:rsidRDefault="002511D8" w:rsidP="002511D8">
      <w:pPr>
        <w:jc w:val="both"/>
      </w:pPr>
    </w:p>
    <w:p w:rsidR="002511D8" w:rsidRDefault="002511D8" w:rsidP="002511D8">
      <w:pPr>
        <w:jc w:val="both"/>
      </w:pPr>
      <w:r w:rsidRPr="00377FC3">
        <w:rPr>
          <w:u w:val="single"/>
        </w:rPr>
        <w:t>Emisie</w:t>
      </w:r>
      <w:r>
        <w:t xml:space="preserve"> </w:t>
      </w:r>
      <w:r w:rsidRPr="003C6931">
        <w:t>sú plynné, kvapalné a tuhé látky, ktoré sú z procesu spaľovania emitované do ovzdušia.</w:t>
      </w:r>
    </w:p>
    <w:p w:rsidR="002511D8" w:rsidRDefault="002511D8" w:rsidP="002511D8">
      <w:pPr>
        <w:jc w:val="both"/>
      </w:pPr>
    </w:p>
    <w:p w:rsidR="002511D8" w:rsidRPr="00F55895" w:rsidRDefault="002511D8" w:rsidP="002511D8">
      <w:pPr>
        <w:jc w:val="both"/>
      </w:pPr>
      <w:r w:rsidRPr="00F55895">
        <w:rPr>
          <w:u w:val="single"/>
        </w:rPr>
        <w:t>Sezónne emisie vykurovania priestoru</w:t>
      </w:r>
      <w:r w:rsidRPr="00F55895">
        <w:t xml:space="preserve"> sú:</w:t>
      </w:r>
    </w:p>
    <w:p w:rsidR="002511D8" w:rsidRPr="00F55895" w:rsidRDefault="002511D8" w:rsidP="002511D8">
      <w:pPr>
        <w:numPr>
          <w:ilvl w:val="0"/>
          <w:numId w:val="6"/>
        </w:numPr>
        <w:jc w:val="both"/>
      </w:pPr>
      <w:r w:rsidRPr="00F55895">
        <w:t>v prípade kotlov na tuhé palivo s automatickým prikladaním vážený priemer emisií pri menovitom tepelnom výkone a emisií pri 30 % menovitého tepelného výkonu, vyjadrený v mg/m</w:t>
      </w:r>
      <w:r w:rsidRPr="005D5390">
        <w:rPr>
          <w:vertAlign w:val="superscript"/>
        </w:rPr>
        <w:t>3</w:t>
      </w:r>
      <w:r w:rsidRPr="00F55895">
        <w:t>;</w:t>
      </w:r>
    </w:p>
    <w:p w:rsidR="002511D8" w:rsidRPr="00F55895" w:rsidRDefault="002511D8" w:rsidP="002511D8">
      <w:pPr>
        <w:numPr>
          <w:ilvl w:val="0"/>
          <w:numId w:val="6"/>
        </w:numPr>
        <w:jc w:val="both"/>
      </w:pPr>
      <w:r w:rsidRPr="00F55895">
        <w:t>v prípade kotlov na tuhé palivo s ručným prikladaním, ktoré možno prevádzkovať pri 50 % menovitého tepelného výkonu v nepretržitom režime, vážený priemer emisií pri menovitom tepelnom výkone a emisií pri 50 % menovitého tepelného výkonu, vyjadrený v mg/m</w:t>
      </w:r>
      <w:r w:rsidRPr="005D5390">
        <w:rPr>
          <w:vertAlign w:val="superscript"/>
        </w:rPr>
        <w:t>3</w:t>
      </w:r>
      <w:r w:rsidRPr="00F55895">
        <w:t>;</w:t>
      </w:r>
    </w:p>
    <w:p w:rsidR="002511D8" w:rsidRPr="006E1DC9" w:rsidRDefault="002511D8" w:rsidP="002511D8">
      <w:pPr>
        <w:numPr>
          <w:ilvl w:val="0"/>
          <w:numId w:val="6"/>
        </w:numPr>
        <w:jc w:val="both"/>
      </w:pPr>
      <w:r w:rsidRPr="00F55895">
        <w:t>v prípade kotlov na tuhé palivo s ručným prikladaním, ktoré nemožno prevádzkovať pri 50 % menovitého tepelného výkonu alebo menej v nepretržitom režime, emisie pri menovitom tepelnom výkone, vyjadrené v mg/m</w:t>
      </w:r>
      <w:r w:rsidRPr="005D5390">
        <w:rPr>
          <w:vertAlign w:val="superscript"/>
        </w:rPr>
        <w:t>3</w:t>
      </w:r>
      <w:r w:rsidR="00810C9C" w:rsidRPr="00F55895">
        <w:t>;</w:t>
      </w:r>
    </w:p>
    <w:p w:rsidR="002511D8" w:rsidRPr="006E1DC9" w:rsidRDefault="002511D8" w:rsidP="002511D8">
      <w:pPr>
        <w:numPr>
          <w:ilvl w:val="0"/>
          <w:numId w:val="6"/>
        </w:numPr>
        <w:jc w:val="both"/>
      </w:pPr>
      <w:r w:rsidRPr="006E1DC9">
        <w:t>v prípade kogeneračných kotlov na tuhé palivo emisie pri menovitom tepelnom výkone, vyjadrené mg/m</w:t>
      </w:r>
      <w:r w:rsidRPr="006E1DC9">
        <w:rPr>
          <w:rStyle w:val="superscript"/>
          <w:vertAlign w:val="superscript"/>
        </w:rPr>
        <w:t>3</w:t>
      </w:r>
      <w:r w:rsidR="00810C9C">
        <w:rPr>
          <w:rStyle w:val="superscript"/>
        </w:rPr>
        <w:t>.</w:t>
      </w:r>
    </w:p>
    <w:p w:rsidR="002511D8" w:rsidRDefault="002511D8" w:rsidP="002511D8">
      <w:pPr>
        <w:ind w:left="360"/>
        <w:jc w:val="both"/>
      </w:pPr>
    </w:p>
    <w:p w:rsidR="00FB78DA" w:rsidRDefault="00FB78DA" w:rsidP="002511D8">
      <w:pPr>
        <w:jc w:val="both"/>
      </w:pPr>
      <w:r>
        <w:t>V prípade kotlov na tuhé palivo:</w:t>
      </w:r>
    </w:p>
    <w:p w:rsidR="002511D8" w:rsidRDefault="002511D8" w:rsidP="00974963">
      <w:pPr>
        <w:ind w:left="284"/>
        <w:jc w:val="both"/>
      </w:pPr>
      <w:r w:rsidRPr="00FB78DA">
        <w:rPr>
          <w:u w:val="single"/>
        </w:rPr>
        <w:t>Emisie tuhých častíc, plynných organických zlúčenín, oxidu uhoľnatého a oxidov dusíka</w:t>
      </w:r>
      <w:r>
        <w:t xml:space="preserve"> sa vyjadrujú normalizované na suché spaliny s 10 % kyslíka a pri štandardných podmienkach </w:t>
      </w:r>
      <w:r w:rsidR="00FB78DA">
        <w:br/>
      </w:r>
      <w:r>
        <w:t>0 °C a 1 013 hPa.</w:t>
      </w:r>
    </w:p>
    <w:p w:rsidR="002511D8" w:rsidRDefault="002511D8" w:rsidP="002511D8">
      <w:pPr>
        <w:jc w:val="both"/>
      </w:pPr>
    </w:p>
    <w:p w:rsidR="002511D8" w:rsidRPr="00F55895" w:rsidRDefault="002511D8" w:rsidP="002511D8">
      <w:pPr>
        <w:jc w:val="both"/>
      </w:pPr>
      <w:r>
        <w:lastRenderedPageBreak/>
        <w:t>V prípade lokálnych ohrievačov priestoru na tuhé palivo:</w:t>
      </w:r>
    </w:p>
    <w:p w:rsidR="002511D8" w:rsidRPr="00F55895" w:rsidRDefault="002511D8" w:rsidP="00974963">
      <w:pPr>
        <w:ind w:left="284"/>
        <w:jc w:val="both"/>
      </w:pPr>
      <w:r w:rsidRPr="00F55895">
        <w:rPr>
          <w:u w:val="single"/>
        </w:rPr>
        <w:t>Emisie tuhých častíc</w:t>
      </w:r>
      <w:r w:rsidRPr="00F55895">
        <w:t xml:space="preserve"> sú emisie tuhých častíc pri menovitom tepelnom výkone, vyjadrené </w:t>
      </w:r>
      <w:r w:rsidR="00FB78DA">
        <w:br/>
      </w:r>
      <w:r w:rsidRPr="00F55895">
        <w:t>v mg/m</w:t>
      </w:r>
      <w:r w:rsidRPr="00F55895">
        <w:rPr>
          <w:vertAlign w:val="superscript"/>
        </w:rPr>
        <w:t>3</w:t>
      </w:r>
      <w:r w:rsidRPr="00F55895">
        <w:t xml:space="preserve"> suchých spalín vypočítané pri teplote 273 K, tlaku 1 013 mbar a pri 13 % O</w:t>
      </w:r>
      <w:r w:rsidRPr="00F55895">
        <w:rPr>
          <w:vertAlign w:val="subscript"/>
        </w:rPr>
        <w:t>2</w:t>
      </w:r>
      <w:r w:rsidRPr="00F55895">
        <w:t xml:space="preserve"> alebo vážené priemerné emisie tuhých častíc na základe maximálne štyroch rýchlostí horenia, vyjadrené v g/kg suchej hmoty.</w:t>
      </w:r>
    </w:p>
    <w:p w:rsidR="002511D8" w:rsidRPr="00F55895" w:rsidRDefault="002511D8" w:rsidP="00974963">
      <w:pPr>
        <w:ind w:left="284"/>
        <w:jc w:val="both"/>
      </w:pPr>
    </w:p>
    <w:p w:rsidR="002511D8" w:rsidRPr="00F55895" w:rsidRDefault="002511D8" w:rsidP="00974963">
      <w:pPr>
        <w:ind w:left="284"/>
        <w:jc w:val="both"/>
      </w:pPr>
      <w:r w:rsidRPr="00F55895">
        <w:rPr>
          <w:u w:val="single"/>
        </w:rPr>
        <w:t>Emisie oxidu uhoľnatého</w:t>
      </w:r>
      <w:r w:rsidRPr="00F55895">
        <w:t xml:space="preserve"> sú emisie oxidu uhoľnatého pri menovitom tepelnom výkone, vyjadrené v mg/m</w:t>
      </w:r>
      <w:r w:rsidRPr="00F55895">
        <w:rPr>
          <w:vertAlign w:val="superscript"/>
        </w:rPr>
        <w:t>3</w:t>
      </w:r>
      <w:r w:rsidRPr="00F55895">
        <w:t xml:space="preserve"> spalín vypočítané pri teplote 273 K, tlaku 1 013 mbar a pri 13 % O</w:t>
      </w:r>
      <w:r w:rsidRPr="00F55895">
        <w:rPr>
          <w:vertAlign w:val="subscript"/>
        </w:rPr>
        <w:t>2</w:t>
      </w:r>
      <w:r w:rsidRPr="00F55895">
        <w:t>.</w:t>
      </w:r>
    </w:p>
    <w:p w:rsidR="002511D8" w:rsidRPr="00F55895" w:rsidRDefault="002511D8" w:rsidP="00974963">
      <w:pPr>
        <w:ind w:left="284"/>
        <w:jc w:val="both"/>
      </w:pPr>
    </w:p>
    <w:p w:rsidR="002511D8" w:rsidRPr="00F55895" w:rsidRDefault="002511D8" w:rsidP="00974963">
      <w:pPr>
        <w:ind w:left="284"/>
        <w:jc w:val="both"/>
      </w:pPr>
      <w:r w:rsidRPr="00F55895">
        <w:rPr>
          <w:u w:val="single"/>
        </w:rPr>
        <w:t>Emisie plynných organických zlúčenín</w:t>
      </w:r>
      <w:r w:rsidRPr="00F55895">
        <w:t xml:space="preserve"> sú emisie plynných organických zlúčenín pri menovitom tepelnom výkone, vyjadrené v mgC/m</w:t>
      </w:r>
      <w:r w:rsidRPr="00F55895">
        <w:rPr>
          <w:vertAlign w:val="superscript"/>
        </w:rPr>
        <w:t>3</w:t>
      </w:r>
      <w:r w:rsidRPr="00F55895">
        <w:t xml:space="preserve"> spalín vypočítané pri teplote 273 K, tlaku 1 013 mbar a pri 13 % O</w:t>
      </w:r>
      <w:r w:rsidRPr="00F55895">
        <w:rPr>
          <w:vertAlign w:val="subscript"/>
        </w:rPr>
        <w:t>2</w:t>
      </w:r>
      <w:r w:rsidRPr="00F55895">
        <w:t>.</w:t>
      </w:r>
    </w:p>
    <w:p w:rsidR="002511D8" w:rsidRPr="00F55895" w:rsidRDefault="002511D8" w:rsidP="00974963">
      <w:pPr>
        <w:ind w:left="284"/>
        <w:jc w:val="both"/>
      </w:pPr>
    </w:p>
    <w:p w:rsidR="002511D8" w:rsidRPr="00F55895" w:rsidRDefault="002511D8" w:rsidP="00974963">
      <w:pPr>
        <w:ind w:left="284"/>
        <w:jc w:val="both"/>
      </w:pPr>
      <w:r w:rsidRPr="00F55895">
        <w:rPr>
          <w:u w:val="single"/>
        </w:rPr>
        <w:t>Emisie oxidov dusíka</w:t>
      </w:r>
      <w:r w:rsidRPr="00F55895">
        <w:t xml:space="preserve"> sú emisie oxidov dusíka pri menovitom tepelnom výkone, vyjadrené v mg/m</w:t>
      </w:r>
      <w:r w:rsidRPr="00F55895">
        <w:rPr>
          <w:vertAlign w:val="superscript"/>
        </w:rPr>
        <w:t>3</w:t>
      </w:r>
      <w:r w:rsidRPr="00F55895">
        <w:t xml:space="preserve"> spalín ako NO</w:t>
      </w:r>
      <w:r w:rsidRPr="00F55895">
        <w:rPr>
          <w:vertAlign w:val="subscript"/>
        </w:rPr>
        <w:t>2</w:t>
      </w:r>
      <w:r w:rsidRPr="00F55895">
        <w:t>, vypočítané pri teplote 273 K, tlaku 1 013 mbar a pri 13 % O</w:t>
      </w:r>
      <w:r w:rsidRPr="00F55895">
        <w:rPr>
          <w:vertAlign w:val="subscript"/>
        </w:rPr>
        <w:t>2</w:t>
      </w:r>
      <w:r w:rsidRPr="00F55895">
        <w:t>.</w:t>
      </w:r>
    </w:p>
    <w:p w:rsidR="002511D8" w:rsidRDefault="002511D8" w:rsidP="002511D8">
      <w:pPr>
        <w:jc w:val="both"/>
      </w:pPr>
    </w:p>
    <w:p w:rsidR="002511D8" w:rsidRDefault="002511D8" w:rsidP="002511D8">
      <w:pPr>
        <w:pStyle w:val="Zkladntext"/>
        <w:jc w:val="both"/>
        <w:rPr>
          <w:szCs w:val="24"/>
        </w:rPr>
      </w:pPr>
      <w:r w:rsidRPr="00377FC3">
        <w:rPr>
          <w:szCs w:val="24"/>
          <w:u w:val="single"/>
        </w:rPr>
        <w:t>Maximálne hodnoty emisií produkované spotrebičom</w:t>
      </w:r>
      <w:r w:rsidRPr="003C6931">
        <w:rPr>
          <w:szCs w:val="24"/>
        </w:rPr>
        <w:t xml:space="preserve"> sú najvyššie prípustné koncentrácie stanovených znečisťujúcich látok vypúšťaných zo zdroja znečisťovania ovzdušia, vztiahnuté na jednotku objemu spalín, vyjadrené v objemových alebo hmotnostných jednotkách.</w:t>
      </w:r>
    </w:p>
    <w:p w:rsidR="002511D8" w:rsidRPr="003C6931" w:rsidRDefault="002511D8" w:rsidP="002511D8">
      <w:pPr>
        <w:pStyle w:val="Zkladntext"/>
        <w:jc w:val="both"/>
        <w:rPr>
          <w:szCs w:val="24"/>
        </w:rPr>
      </w:pPr>
    </w:p>
    <w:p w:rsidR="002511D8" w:rsidRPr="00CC20EA" w:rsidRDefault="002511D8" w:rsidP="002511D8">
      <w:pPr>
        <w:rPr>
          <w:rFonts w:cs="Arial"/>
          <w:szCs w:val="20"/>
          <w:lang w:val="x-none"/>
        </w:rPr>
      </w:pPr>
    </w:p>
    <w:p w:rsidR="002511D8" w:rsidRDefault="002511D8" w:rsidP="002511D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Základné požiadavky</w:t>
      </w:r>
    </w:p>
    <w:p w:rsidR="002511D8" w:rsidRDefault="002511D8" w:rsidP="002511D8">
      <w:pPr>
        <w:pStyle w:val="Zkladntext"/>
        <w:widowControl/>
        <w:spacing w:before="120"/>
        <w:jc w:val="both"/>
      </w:pPr>
      <w:r>
        <w:rPr>
          <w:rFonts w:cs="Arial"/>
        </w:rPr>
        <w:t xml:space="preserve">Zariadenia na spaľovanie tuhej biomasy uvádzané na trh v Slovenskej republike musia byť funkčne spôsobilé a </w:t>
      </w:r>
      <w:r>
        <w:t>musia spĺňať požiadavky príslušných technických noriem, všeobecne záväzných právnych predpisov v oblasti ochrany zdravia ľudí, ochrany spotrebiteľa, bezpečnosti, v oblasti uvádzania chemických látok a zmesí na trh a v oblasti právnych predpisov týkajúcich sa starostlivosti o životné prostredie, vzťahujúce sa na produkt, jeho výrobu, používanie a jeho zneškodnenie.</w:t>
      </w:r>
    </w:p>
    <w:p w:rsidR="002511D8" w:rsidRPr="00A955EF" w:rsidRDefault="002511D8" w:rsidP="002511D8">
      <w:pPr>
        <w:spacing w:line="360" w:lineRule="auto"/>
        <w:jc w:val="both"/>
      </w:pPr>
    </w:p>
    <w:p w:rsidR="002511D8" w:rsidRPr="00222C16" w:rsidRDefault="002511D8" w:rsidP="002511D8">
      <w:pPr>
        <w:tabs>
          <w:tab w:val="left" w:pos="0"/>
        </w:tabs>
        <w:jc w:val="both"/>
        <w:rPr>
          <w:highlight w:val="green"/>
          <w:u w:val="single"/>
        </w:rPr>
      </w:pPr>
      <w:r w:rsidRPr="00222C16">
        <w:rPr>
          <w:u w:val="single"/>
        </w:rPr>
        <w:t>Právne predpisy:</w:t>
      </w:r>
    </w:p>
    <w:p w:rsidR="002511D8" w:rsidRPr="000340F7" w:rsidRDefault="002511D8" w:rsidP="002511D8">
      <w:pPr>
        <w:jc w:val="both"/>
        <w:rPr>
          <w:szCs w:val="20"/>
          <w:highlight w:val="green"/>
        </w:rPr>
      </w:pPr>
    </w:p>
    <w:p w:rsidR="002511D8" w:rsidRPr="00F55895" w:rsidRDefault="002511D8" w:rsidP="00837164">
      <w:pPr>
        <w:tabs>
          <w:tab w:val="left" w:pos="360"/>
        </w:tabs>
        <w:jc w:val="both"/>
      </w:pPr>
      <w:r>
        <w:t>s</w:t>
      </w:r>
      <w:r w:rsidRPr="00F55895">
        <w:t xml:space="preserve">mernica EP a Rady </w:t>
      </w:r>
      <w:r>
        <w:t xml:space="preserve">č. </w:t>
      </w:r>
      <w:r w:rsidRPr="00F55895">
        <w:t xml:space="preserve">2009/125/ES </w:t>
      </w:r>
      <w:r>
        <w:t xml:space="preserve">z 21. októbra 2009 </w:t>
      </w:r>
      <w:r w:rsidRPr="00F55895">
        <w:t>o vytvorení rámca na stanovenie požiadaviek na ekodizajn energeticky významných výrobkov</w:t>
      </w:r>
      <w:r>
        <w:t>,</w:t>
      </w:r>
    </w:p>
    <w:p w:rsidR="002511D8" w:rsidRPr="00F55895" w:rsidRDefault="002511D8" w:rsidP="00837164">
      <w:pPr>
        <w:tabs>
          <w:tab w:val="left" w:pos="360"/>
        </w:tabs>
        <w:jc w:val="both"/>
      </w:pPr>
    </w:p>
    <w:p w:rsidR="002511D8" w:rsidRPr="00F55895" w:rsidRDefault="002511D8" w:rsidP="00837164">
      <w:pPr>
        <w:tabs>
          <w:tab w:val="left" w:pos="360"/>
        </w:tabs>
        <w:jc w:val="both"/>
      </w:pPr>
      <w:r>
        <w:t>n</w:t>
      </w:r>
      <w:r w:rsidRPr="00F55895">
        <w:t xml:space="preserve">ariadenie komisie EÚ </w:t>
      </w:r>
      <w:r>
        <w:t xml:space="preserve">č. </w:t>
      </w:r>
      <w:r w:rsidRPr="00F55895">
        <w:t>2015/1189</w:t>
      </w:r>
      <w:r>
        <w:t xml:space="preserve"> z 28. apríla 2015, ktorým sa vykonáva </w:t>
      </w:r>
      <w:r w:rsidRPr="00F55895">
        <w:t>smernic</w:t>
      </w:r>
      <w:r>
        <w:t>a</w:t>
      </w:r>
      <w:r w:rsidRPr="00F55895">
        <w:t xml:space="preserve"> E</w:t>
      </w:r>
      <w:r>
        <w:t>urópskeho parlamentu a Rady č.</w:t>
      </w:r>
      <w:r w:rsidRPr="00F55895">
        <w:t xml:space="preserve"> 2009/129/ES, pokiaľ ide o požiadavky na ekodizajn kotlov na tuhé palivo</w:t>
      </w:r>
      <w:r w:rsidRPr="000D4639">
        <w:t xml:space="preserve"> </w:t>
      </w:r>
      <w:r>
        <w:t>v znení nariadenia komisie (EÚ) 2016/2282 z 30. novembra 2016,</w:t>
      </w:r>
    </w:p>
    <w:p w:rsidR="002511D8" w:rsidRPr="00F55895" w:rsidRDefault="002511D8" w:rsidP="00837164">
      <w:pPr>
        <w:tabs>
          <w:tab w:val="left" w:pos="360"/>
        </w:tabs>
        <w:jc w:val="both"/>
      </w:pPr>
    </w:p>
    <w:p w:rsidR="002511D8" w:rsidRDefault="002511D8" w:rsidP="00837164">
      <w:pPr>
        <w:tabs>
          <w:tab w:val="left" w:pos="360"/>
        </w:tabs>
        <w:jc w:val="both"/>
      </w:pPr>
      <w:r>
        <w:t>n</w:t>
      </w:r>
      <w:r w:rsidRPr="00F55895">
        <w:t xml:space="preserve">ariadenie komisie EÚ </w:t>
      </w:r>
      <w:r>
        <w:t xml:space="preserve">č. </w:t>
      </w:r>
      <w:r w:rsidRPr="00F55895">
        <w:t>2015/1185</w:t>
      </w:r>
      <w:r>
        <w:t xml:space="preserve"> z 24. apríla 2015, ktorým sa vykonáva </w:t>
      </w:r>
      <w:r w:rsidRPr="00F55895">
        <w:t>smernic</w:t>
      </w:r>
      <w:r>
        <w:t>a</w:t>
      </w:r>
      <w:r w:rsidRPr="00F55895">
        <w:t xml:space="preserve"> E</w:t>
      </w:r>
      <w:r>
        <w:t>urópskeho parlamentu a Rady č.</w:t>
      </w:r>
      <w:r w:rsidRPr="00F55895">
        <w:t xml:space="preserve"> 2009/129/ES, pokiaľ ide o požiadavky na ekodizajn lokálnych ohrievačov priestoru na tuhé palivo</w:t>
      </w:r>
      <w:r w:rsidRPr="000D4639">
        <w:t xml:space="preserve"> </w:t>
      </w:r>
      <w:r>
        <w:t>v znení nariadenia komisie (EÚ) 2016/2282 z 30. novembra 2016,</w:t>
      </w:r>
    </w:p>
    <w:p w:rsidR="00837164" w:rsidRDefault="00837164" w:rsidP="00837164">
      <w:pPr>
        <w:tabs>
          <w:tab w:val="left" w:pos="360"/>
        </w:tabs>
        <w:jc w:val="both"/>
      </w:pPr>
    </w:p>
    <w:p w:rsidR="002511D8" w:rsidRPr="00AC76BA" w:rsidRDefault="002511D8" w:rsidP="002511D8">
      <w:r>
        <w:t>z</w:t>
      </w:r>
      <w:r w:rsidRPr="00AC76BA">
        <w:t xml:space="preserve">ákon č. 17/1992 Zb. o životnom prostredí v znení neskorších predpisov, </w:t>
      </w:r>
    </w:p>
    <w:p w:rsidR="002511D8" w:rsidRPr="00AC76BA" w:rsidRDefault="002511D8" w:rsidP="002511D8"/>
    <w:p w:rsidR="002511D8" w:rsidRPr="00AC76BA" w:rsidRDefault="002511D8" w:rsidP="002511D8">
      <w:pPr>
        <w:jc w:val="both"/>
      </w:pPr>
      <w:r w:rsidRPr="00AC76BA">
        <w:t>zákon č. 364/2004 Z. z. o vodách a o zmene zákona Slovenskej národnej rady č. 372/1990 Zb. o priestupkoch v znení neskorších predpisov (vodný zákon) v znení neskorších predpisov a príslušné vykonávacie predpisy,</w:t>
      </w:r>
    </w:p>
    <w:p w:rsidR="002511D8" w:rsidRPr="00AC76BA" w:rsidRDefault="002511D8" w:rsidP="002511D8">
      <w:pPr>
        <w:jc w:val="both"/>
      </w:pPr>
    </w:p>
    <w:p w:rsidR="002511D8" w:rsidRDefault="002511D8" w:rsidP="002511D8">
      <w:pPr>
        <w:jc w:val="both"/>
      </w:pPr>
      <w:r w:rsidRPr="00AC76BA">
        <w:lastRenderedPageBreak/>
        <w:t>zákon č. 137/2010 Z. z. o</w:t>
      </w:r>
      <w:r>
        <w:t> </w:t>
      </w:r>
      <w:r w:rsidRPr="00AC76BA">
        <w:t>ovzduší</w:t>
      </w:r>
      <w:r>
        <w:t xml:space="preserve"> v znení neskorších predpisov</w:t>
      </w:r>
      <w:r w:rsidRPr="00AC76BA">
        <w:t xml:space="preserve"> a príslušné vykonávacie predpisy,</w:t>
      </w:r>
    </w:p>
    <w:p w:rsidR="002511D8" w:rsidRPr="00AC76BA" w:rsidRDefault="002511D8" w:rsidP="002511D8">
      <w:pPr>
        <w:jc w:val="both"/>
      </w:pPr>
    </w:p>
    <w:p w:rsidR="002511D8" w:rsidRDefault="002511D8" w:rsidP="002511D8">
      <w:pPr>
        <w:jc w:val="both"/>
      </w:pPr>
      <w:r>
        <w:t xml:space="preserve">zákon č. 79/2015 Z. z o odpadoch a o zmene a doplnení niektorých zákonov v znení neskorších predpisov a príslušné vykonávacie predpisy, </w:t>
      </w:r>
    </w:p>
    <w:p w:rsidR="002511D8" w:rsidRPr="00AC76BA" w:rsidRDefault="002511D8" w:rsidP="002511D8">
      <w:pPr>
        <w:jc w:val="both"/>
      </w:pPr>
    </w:p>
    <w:p w:rsidR="002511D8" w:rsidRDefault="002511D8" w:rsidP="002511D8">
      <w:pPr>
        <w:jc w:val="both"/>
      </w:pPr>
      <w:r w:rsidRPr="00815E20">
        <w:t xml:space="preserve">zákon č. </w:t>
      </w:r>
      <w:r>
        <w:t>39/2013</w:t>
      </w:r>
      <w:r w:rsidRPr="00815E20">
        <w:t xml:space="preserve"> Z. z. o integrovanej prevencii a kontrole znečisťovania životného prostredia a o zmen</w:t>
      </w:r>
      <w:r>
        <w:t>e a doplnení niektorých zákonov v znení neskorších predpisov a príslušné vykonávacie predpisy</w:t>
      </w:r>
      <w:r w:rsidR="00837164">
        <w:t>,</w:t>
      </w:r>
    </w:p>
    <w:p w:rsidR="002511D8" w:rsidRDefault="002511D8" w:rsidP="002511D8">
      <w:pPr>
        <w:jc w:val="both"/>
      </w:pPr>
    </w:p>
    <w:p w:rsidR="002511D8" w:rsidRPr="00815E20" w:rsidRDefault="002511D8" w:rsidP="002511D8">
      <w:pPr>
        <w:jc w:val="both"/>
      </w:pPr>
      <w:r>
        <w:rPr>
          <w:sz w:val="22"/>
          <w:szCs w:val="22"/>
        </w:rPr>
        <w:t xml:space="preserve">zákon č. </w:t>
      </w:r>
      <w:r w:rsidRPr="00FC284A">
        <w:rPr>
          <w:sz w:val="22"/>
          <w:szCs w:val="22"/>
        </w:rPr>
        <w:t>24/2006 Z. z. o posudzovaní vplyvov na životné prostredie a o zmene a doplnení niektorých zákonov</w:t>
      </w:r>
      <w:r>
        <w:rPr>
          <w:sz w:val="22"/>
          <w:szCs w:val="22"/>
        </w:rPr>
        <w:t xml:space="preserve"> v znení neskorších predpisov,</w:t>
      </w:r>
    </w:p>
    <w:p w:rsidR="002511D8" w:rsidRPr="00AC76BA" w:rsidRDefault="002511D8" w:rsidP="002511D8">
      <w:pPr>
        <w:jc w:val="both"/>
      </w:pPr>
    </w:p>
    <w:p w:rsidR="002511D8" w:rsidRPr="00AC76BA" w:rsidRDefault="002511D8" w:rsidP="002511D8">
      <w:pPr>
        <w:jc w:val="both"/>
      </w:pPr>
      <w:r w:rsidRPr="00AC76BA">
        <w:t>zákon č. 67/2010 Z. z. o podmienkach uvedenia chemických látok a chemických zmesí na trh a o zmene a doplnení niektorých zákonov (chemický zákon)</w:t>
      </w:r>
      <w:r>
        <w:t xml:space="preserve"> v znení neskorších predpisov</w:t>
      </w:r>
      <w:r w:rsidRPr="00AC76BA">
        <w:t xml:space="preserve"> a príslušné vykonávacie predpisy,</w:t>
      </w:r>
    </w:p>
    <w:p w:rsidR="002511D8" w:rsidRPr="00AC76BA" w:rsidRDefault="002511D8" w:rsidP="002511D8">
      <w:pPr>
        <w:jc w:val="both"/>
      </w:pPr>
    </w:p>
    <w:p w:rsidR="002511D8" w:rsidRPr="00AC76BA" w:rsidRDefault="002511D8" w:rsidP="002511D8">
      <w:pPr>
        <w:jc w:val="both"/>
      </w:pPr>
      <w:r w:rsidRPr="00AC76BA">
        <w:t xml:space="preserve">zákon č. 355/2007 Z. z. o ochrane, podpore a rozvoji verejného zdravia a o zmene a doplnení niektorých zákonov v znení neskorších predpisov a príslušné vykonávacie predpisy, </w:t>
      </w:r>
    </w:p>
    <w:p w:rsidR="002511D8" w:rsidRPr="00AC76BA" w:rsidRDefault="002511D8" w:rsidP="002511D8">
      <w:pPr>
        <w:jc w:val="both"/>
      </w:pPr>
    </w:p>
    <w:p w:rsidR="002511D8" w:rsidRDefault="002511D8" w:rsidP="002511D8">
      <w:pPr>
        <w:jc w:val="both"/>
      </w:pPr>
      <w:r w:rsidRPr="00AC76BA">
        <w:t>zákon č. 250/2007 Z. z. o ochrane spotrebiteľa a o zmene zákona Slovenskej národnej rady č.372/1990 Zb. o priestupkoch v znení neskorších predpisov v znení neskorších predpisov</w:t>
      </w:r>
      <w:r w:rsidRPr="00CB195E">
        <w:t xml:space="preserve"> </w:t>
      </w:r>
      <w:r w:rsidRPr="00AC76BA">
        <w:t>a príslušné vykonávacie predpisy,</w:t>
      </w:r>
    </w:p>
    <w:p w:rsidR="002511D8" w:rsidRPr="00AC76BA" w:rsidRDefault="002511D8" w:rsidP="002511D8">
      <w:pPr>
        <w:jc w:val="both"/>
      </w:pPr>
    </w:p>
    <w:p w:rsidR="002511D8" w:rsidRPr="00A955EF" w:rsidRDefault="002511D8" w:rsidP="002511D8">
      <w:pPr>
        <w:jc w:val="both"/>
        <w:rPr>
          <w:iCs/>
        </w:rPr>
      </w:pPr>
      <w:r w:rsidRPr="00A955EF">
        <w:rPr>
          <w:iCs/>
        </w:rPr>
        <w:t xml:space="preserve">zákon č. 56/2018 Z. z. o posudzovaní zhody výrobku, sprístupňovaní určeného výrobku </w:t>
      </w:r>
      <w:r w:rsidRPr="00A955EF">
        <w:rPr>
          <w:iCs/>
        </w:rPr>
        <w:br/>
        <w:t>na trhu a o zmene a doplnení niektorých zákonov</w:t>
      </w:r>
      <w:r>
        <w:rPr>
          <w:iCs/>
        </w:rPr>
        <w:t>,</w:t>
      </w:r>
    </w:p>
    <w:p w:rsidR="002511D8" w:rsidRDefault="002511D8" w:rsidP="002511D8">
      <w:pPr>
        <w:jc w:val="both"/>
      </w:pPr>
    </w:p>
    <w:p w:rsidR="002511D8" w:rsidRDefault="002511D8" w:rsidP="002511D8">
      <w:pPr>
        <w:jc w:val="both"/>
      </w:pPr>
      <w:r>
        <w:t xml:space="preserve">zákon č. 543/2002 Z. z. o ochrane prírody a krajiny v znení neskorších predpisov a príslušné vykonávacie predpisy, </w:t>
      </w:r>
    </w:p>
    <w:p w:rsidR="00837164" w:rsidRDefault="00837164" w:rsidP="002511D8">
      <w:pPr>
        <w:jc w:val="both"/>
      </w:pPr>
    </w:p>
    <w:p w:rsidR="002511D8" w:rsidRDefault="002511D8" w:rsidP="002511D8">
      <w:pPr>
        <w:jc w:val="both"/>
      </w:pPr>
      <w:r>
        <w:t>vyhláška MPSV a R SR č. 508/2009 Z. z., ktorou sa ustanovujú podrobnosti na zaistenie bezpečnosti a ochrana zdravia pri práci s technickými zariadeniami tlakovými, zdvíhacími, elektrickými a plynovými a ktorou sa ustanovujú technické zariadenia, ktoré sa považujú za vyhradené technické zariadenia v znení neskorších predpisov,</w:t>
      </w:r>
    </w:p>
    <w:p w:rsidR="002511D8" w:rsidRDefault="002511D8" w:rsidP="002511D8">
      <w:pPr>
        <w:jc w:val="both"/>
      </w:pPr>
    </w:p>
    <w:p w:rsidR="002511D8" w:rsidRDefault="002511D8" w:rsidP="002511D8">
      <w:pPr>
        <w:jc w:val="both"/>
      </w:pPr>
      <w:r>
        <w:t xml:space="preserve">zákon č. 321/2012 Z. z. o ochrane ozónovej vrstvy Zeme a o zmene a doplnení niektorých zákonov </w:t>
      </w:r>
      <w:r w:rsidRPr="004E6FD2">
        <w:t>v znení zákona č. 180/2013 Z. z.</w:t>
      </w:r>
      <w:r w:rsidR="00837164">
        <w:t>,</w:t>
      </w:r>
    </w:p>
    <w:p w:rsidR="002511D8" w:rsidRDefault="002511D8" w:rsidP="002511D8">
      <w:pPr>
        <w:jc w:val="both"/>
      </w:pPr>
    </w:p>
    <w:p w:rsidR="002511D8" w:rsidRDefault="002511D8" w:rsidP="002511D8">
      <w:pPr>
        <w:jc w:val="both"/>
      </w:pPr>
      <w:r w:rsidRPr="000E7B00">
        <w:t>zákon č. 314/2012 Z. z.</w:t>
      </w:r>
      <w:r>
        <w:rPr>
          <w:b/>
        </w:rPr>
        <w:t xml:space="preserve"> </w:t>
      </w:r>
      <w:r>
        <w:t xml:space="preserve">o pravidelnej kontrole vykurovacích systémov a klimatizačných systémov a o zmene zákona č. 455/1991 Zb. o živnostenskom podnikaní (živnostenský zákon) v znení neskorších predpisov a v znení zákona č. 198/2020 a č. 419/2020 a príslušné vykonávacie predpisy, </w:t>
      </w:r>
    </w:p>
    <w:p w:rsidR="002511D8" w:rsidRDefault="002511D8" w:rsidP="002511D8">
      <w:pPr>
        <w:jc w:val="both"/>
      </w:pPr>
      <w:r>
        <w:t xml:space="preserve"> </w:t>
      </w:r>
    </w:p>
    <w:p w:rsidR="002511D8" w:rsidRDefault="002511D8" w:rsidP="002511D8">
      <w:pPr>
        <w:jc w:val="both"/>
      </w:pPr>
      <w:r w:rsidRPr="000E7B00">
        <w:t>zákon č. 314/2001 Z. z.</w:t>
      </w:r>
      <w:r>
        <w:rPr>
          <w:b/>
        </w:rPr>
        <w:t xml:space="preserve"> </w:t>
      </w:r>
      <w:r>
        <w:t>o ochrane pred požiarmi v znení neskorších predpisov a príslušné vykonávacie predpisy,</w:t>
      </w:r>
    </w:p>
    <w:p w:rsidR="002511D8" w:rsidRDefault="002511D8" w:rsidP="002511D8">
      <w:pPr>
        <w:jc w:val="both"/>
      </w:pPr>
    </w:p>
    <w:p w:rsidR="002511D8" w:rsidRDefault="002511D8" w:rsidP="002511D8">
      <w:pPr>
        <w:jc w:val="both"/>
      </w:pPr>
      <w:r w:rsidRPr="000E7B00">
        <w:t>zákon č. 657/2004 Z. z.</w:t>
      </w:r>
      <w:r>
        <w:rPr>
          <w:b/>
        </w:rPr>
        <w:t xml:space="preserve"> </w:t>
      </w:r>
      <w:r>
        <w:t>o tepelnej energetike v znení neskorších predpisov</w:t>
      </w:r>
      <w:r w:rsidRPr="00C11988">
        <w:t xml:space="preserve"> </w:t>
      </w:r>
      <w:r>
        <w:t>a príslušné vykonávacie predpisy,</w:t>
      </w:r>
    </w:p>
    <w:p w:rsidR="002511D8" w:rsidRDefault="002511D8" w:rsidP="002511D8">
      <w:pPr>
        <w:jc w:val="both"/>
      </w:pPr>
    </w:p>
    <w:p w:rsidR="002511D8" w:rsidRDefault="002511D8" w:rsidP="002511D8">
      <w:pPr>
        <w:jc w:val="both"/>
      </w:pPr>
      <w:r w:rsidRPr="000E7B00">
        <w:t>nariadenie vlády SR č. 236/2005 Z. z.</w:t>
      </w:r>
      <w:r>
        <w:rPr>
          <w:b/>
        </w:rPr>
        <w:t xml:space="preserve"> </w:t>
      </w:r>
      <w:r>
        <w:t>o výkone zdrojov tepla na vykurovanie priestorov a prípravu teplej úžitkovej vody v nepriemyselných budovách,</w:t>
      </w:r>
    </w:p>
    <w:p w:rsidR="002511D8" w:rsidRDefault="002511D8" w:rsidP="002511D8">
      <w:pPr>
        <w:jc w:val="both"/>
      </w:pPr>
      <w:r w:rsidRPr="000E7B00">
        <w:lastRenderedPageBreak/>
        <w:t>nariadenie vlády SR č. 404/2007 Z. z.</w:t>
      </w:r>
      <w:r>
        <w:rPr>
          <w:b/>
        </w:rPr>
        <w:t xml:space="preserve"> </w:t>
      </w:r>
      <w:r>
        <w:t>o všeobecnej bezpečnosti výrobkov</w:t>
      </w:r>
      <w:r w:rsidR="00837164">
        <w:t>.</w:t>
      </w:r>
    </w:p>
    <w:p w:rsidR="002511D8" w:rsidRDefault="002511D8" w:rsidP="002511D8">
      <w:pPr>
        <w:jc w:val="both"/>
      </w:pPr>
    </w:p>
    <w:p w:rsidR="002511D8" w:rsidRPr="00222C16" w:rsidRDefault="002511D8" w:rsidP="002511D8">
      <w:pPr>
        <w:jc w:val="both"/>
        <w:rPr>
          <w:u w:val="single"/>
        </w:rPr>
      </w:pPr>
      <w:r w:rsidRPr="00222C16">
        <w:rPr>
          <w:u w:val="single"/>
        </w:rPr>
        <w:t>Technické predpisy:</w:t>
      </w:r>
    </w:p>
    <w:p w:rsidR="002511D8" w:rsidRDefault="002511D8" w:rsidP="002511D8">
      <w:pPr>
        <w:jc w:val="both"/>
      </w:pPr>
    </w:p>
    <w:p w:rsidR="002511D8" w:rsidRDefault="002511D8" w:rsidP="002511D8">
      <w:pPr>
        <w:jc w:val="both"/>
      </w:pPr>
      <w:r>
        <w:t>STN EN 303-5: 2012 Vykurovacie kotly. Časť 5: Vykurovacie kotly na tuhé palivá s ručným a automatickým prikladaním paliva s menovitým výkonom do 500 kW. Terminológia, požiadavky, skúšanie a označovanie (07 0251)</w:t>
      </w:r>
    </w:p>
    <w:p w:rsidR="002511D8" w:rsidRDefault="002511D8" w:rsidP="002511D8">
      <w:pPr>
        <w:jc w:val="both"/>
      </w:pPr>
    </w:p>
    <w:p w:rsidR="002511D8" w:rsidRDefault="002511D8" w:rsidP="00837164">
      <w:pPr>
        <w:tabs>
          <w:tab w:val="left" w:pos="360"/>
        </w:tabs>
        <w:jc w:val="both"/>
      </w:pPr>
      <w:r w:rsidRPr="004A2FC1">
        <w:t>STN EN 14785</w:t>
      </w:r>
      <w:r>
        <w:t>: 2006</w:t>
      </w:r>
      <w:r w:rsidRPr="004A2FC1">
        <w:t> Spotrebiče na vykurovanie obytných priestorov na drevené pelet</w:t>
      </w:r>
      <w:r>
        <w:t>y. Požiadavky a skúšobné metódy (06 1207)</w:t>
      </w:r>
    </w:p>
    <w:p w:rsidR="00837164" w:rsidRDefault="00837164" w:rsidP="00837164">
      <w:pPr>
        <w:tabs>
          <w:tab w:val="left" w:pos="360"/>
        </w:tabs>
        <w:jc w:val="both"/>
      </w:pPr>
    </w:p>
    <w:p w:rsidR="002511D8" w:rsidRDefault="002511D8" w:rsidP="00837164">
      <w:pPr>
        <w:tabs>
          <w:tab w:val="left" w:pos="360"/>
        </w:tabs>
        <w:jc w:val="both"/>
        <w:rPr>
          <w:color w:val="000000"/>
        </w:rPr>
      </w:pPr>
      <w:r w:rsidRPr="004A2FC1">
        <w:rPr>
          <w:color w:val="000000"/>
        </w:rPr>
        <w:t xml:space="preserve">STN EN </w:t>
      </w:r>
      <w:r w:rsidRPr="004A2FC1">
        <w:rPr>
          <w:rStyle w:val="Zvraznenie"/>
          <w:i w:val="0"/>
          <w:color w:val="000000"/>
        </w:rPr>
        <w:t>15250</w:t>
      </w:r>
      <w:r>
        <w:rPr>
          <w:rStyle w:val="Zvraznenie"/>
          <w:i w:val="0"/>
          <w:color w:val="000000"/>
        </w:rPr>
        <w:t>: 2012</w:t>
      </w:r>
      <w:r w:rsidRPr="004A2FC1">
        <w:rPr>
          <w:rStyle w:val="Zvraznenie"/>
          <w:i w:val="0"/>
          <w:color w:val="000000"/>
        </w:rPr>
        <w:t xml:space="preserve"> </w:t>
      </w:r>
      <w:r w:rsidRPr="004A2FC1">
        <w:rPr>
          <w:color w:val="000000"/>
        </w:rPr>
        <w:t xml:space="preserve">Akumulačné </w:t>
      </w:r>
      <w:r>
        <w:rPr>
          <w:color w:val="000000"/>
        </w:rPr>
        <w:t>zariadenia</w:t>
      </w:r>
      <w:r w:rsidRPr="004A2FC1">
        <w:rPr>
          <w:color w:val="000000"/>
        </w:rPr>
        <w:t xml:space="preserve"> na pevné paliv</w:t>
      </w:r>
      <w:r>
        <w:rPr>
          <w:color w:val="000000"/>
        </w:rPr>
        <w:t>á</w:t>
      </w:r>
      <w:r w:rsidRPr="004A2FC1">
        <w:rPr>
          <w:color w:val="000000"/>
        </w:rPr>
        <w:t>. Požiadavky a skúšobné metódy</w:t>
      </w:r>
      <w:r>
        <w:rPr>
          <w:color w:val="000000"/>
        </w:rPr>
        <w:t xml:space="preserve"> (06 1208)</w:t>
      </w:r>
    </w:p>
    <w:p w:rsidR="00837164" w:rsidRDefault="00837164" w:rsidP="00837164">
      <w:pPr>
        <w:tabs>
          <w:tab w:val="left" w:pos="360"/>
        </w:tabs>
        <w:jc w:val="both"/>
        <w:rPr>
          <w:color w:val="000000"/>
        </w:rPr>
      </w:pPr>
    </w:p>
    <w:p w:rsidR="00837164" w:rsidRDefault="00837164" w:rsidP="00837164">
      <w:pPr>
        <w:tabs>
          <w:tab w:val="left" w:pos="360"/>
        </w:tabs>
        <w:jc w:val="both"/>
      </w:pPr>
      <w:r w:rsidRPr="00014A29">
        <w:t>STN EN 16510-1: 2019</w:t>
      </w:r>
      <w:r w:rsidRPr="00F53BAC">
        <w:rPr>
          <w:color w:val="007AFF"/>
        </w:rPr>
        <w:t xml:space="preserve"> </w:t>
      </w:r>
      <w:r w:rsidRPr="00F53BAC">
        <w:rPr>
          <w:color w:val="333333"/>
          <w:shd w:val="clear" w:color="auto" w:fill="FFFFFF"/>
        </w:rPr>
        <w:t>Bytové spotrebiče na tuhé palivo. Časť 1: Všeobecné požiadavky a skúšobné metódy</w:t>
      </w:r>
      <w:r w:rsidRPr="00F53BAC">
        <w:rPr>
          <w:color w:val="007AFF"/>
        </w:rPr>
        <w:t xml:space="preserve"> </w:t>
      </w:r>
      <w:r w:rsidRPr="00014A29">
        <w:t>(06</w:t>
      </w:r>
      <w:r>
        <w:t xml:space="preserve"> </w:t>
      </w:r>
      <w:r w:rsidRPr="00014A29">
        <w:t>1241)</w:t>
      </w:r>
    </w:p>
    <w:p w:rsidR="00837164" w:rsidRDefault="00837164" w:rsidP="00837164">
      <w:pPr>
        <w:tabs>
          <w:tab w:val="left" w:pos="360"/>
        </w:tabs>
        <w:jc w:val="both"/>
        <w:rPr>
          <w:color w:val="000000"/>
        </w:rPr>
      </w:pPr>
    </w:p>
    <w:p w:rsidR="002511D8" w:rsidRDefault="002511D8" w:rsidP="00837164">
      <w:pPr>
        <w:tabs>
          <w:tab w:val="left" w:pos="360"/>
        </w:tabs>
        <w:jc w:val="both"/>
      </w:pPr>
    </w:p>
    <w:p w:rsidR="002511D8" w:rsidRDefault="002511D8" w:rsidP="002511D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</w:t>
      </w:r>
      <w:r w:rsidRPr="001E7AEB">
        <w:rPr>
          <w:rFonts w:cs="Arial"/>
          <w:b/>
          <w:szCs w:val="20"/>
        </w:rPr>
        <w:t>Špecifické požiadavky</w:t>
      </w:r>
    </w:p>
    <w:p w:rsidR="002511D8" w:rsidRPr="00222C16" w:rsidRDefault="002511D8" w:rsidP="002511D8">
      <w:pPr>
        <w:rPr>
          <w:rFonts w:cs="Arial"/>
          <w:b/>
          <w:szCs w:val="20"/>
        </w:rPr>
      </w:pPr>
    </w:p>
    <w:p w:rsidR="002511D8" w:rsidRPr="00F55895" w:rsidRDefault="002511D8" w:rsidP="002511D8">
      <w:pPr>
        <w:numPr>
          <w:ilvl w:val="1"/>
          <w:numId w:val="3"/>
        </w:numPr>
        <w:jc w:val="both"/>
        <w:rPr>
          <w:rStyle w:val="Siln"/>
          <w:b w:val="0"/>
          <w:bCs/>
        </w:rPr>
      </w:pPr>
      <w:r w:rsidRPr="00F55895">
        <w:rPr>
          <w:rStyle w:val="Siln"/>
          <w:b w:val="0"/>
          <w:bCs/>
        </w:rPr>
        <w:t xml:space="preserve">Maximálne hodnoty emisií vyprodukovaných zariadeniami na spaľovanie tuhej biomasy </w:t>
      </w:r>
      <w:r>
        <w:rPr>
          <w:rStyle w:val="Siln"/>
          <w:b w:val="0"/>
          <w:bCs/>
        </w:rPr>
        <w:t xml:space="preserve"> </w:t>
      </w:r>
      <w:r w:rsidRPr="00F55895">
        <w:rPr>
          <w:rStyle w:val="Siln"/>
          <w:b w:val="0"/>
          <w:bCs/>
        </w:rPr>
        <w:t>nesmú prekročiť hodnoty sezónnych emisií vykurovania priestoru uvedených v nasledujúcej tabuľke č.1:</w:t>
      </w:r>
    </w:p>
    <w:p w:rsidR="002511D8" w:rsidRDefault="002511D8" w:rsidP="002511D8">
      <w:pPr>
        <w:jc w:val="both"/>
        <w:rPr>
          <w:rStyle w:val="Siln"/>
          <w:b w:val="0"/>
          <w:bCs/>
        </w:rPr>
      </w:pPr>
    </w:p>
    <w:p w:rsidR="002511D8" w:rsidRPr="00792381" w:rsidRDefault="002511D8" w:rsidP="002511D8">
      <w:pPr>
        <w:ind w:firstLine="426"/>
        <w:jc w:val="both"/>
        <w:rPr>
          <w:rStyle w:val="Siln"/>
          <w:b w:val="0"/>
          <w:bCs/>
        </w:rPr>
      </w:pPr>
      <w:r>
        <w:rPr>
          <w:rStyle w:val="Siln"/>
          <w:b w:val="0"/>
          <w:bCs/>
        </w:rPr>
        <w:t>Tabuľka č. 1</w:t>
      </w:r>
    </w:p>
    <w:tbl>
      <w:tblPr>
        <w:tblW w:w="8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780"/>
        <w:gridCol w:w="1211"/>
        <w:gridCol w:w="1211"/>
        <w:gridCol w:w="1211"/>
        <w:gridCol w:w="1211"/>
      </w:tblGrid>
      <w:tr w:rsidR="002511D8" w:rsidRPr="00F55895" w:rsidTr="00D86AF1">
        <w:trPr>
          <w:cantSplit/>
          <w:trHeight w:val="300"/>
          <w:jc w:val="center"/>
        </w:trPr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2511D8" w:rsidRPr="00837164" w:rsidRDefault="002511D8" w:rsidP="004E6FD2">
            <w:pPr>
              <w:pStyle w:val="textobt"/>
              <w:spacing w:before="0" w:after="0"/>
              <w:rPr>
                <w:rFonts w:eastAsia="Times New Roman"/>
                <w:b/>
                <w:i w:val="0"/>
                <w:sz w:val="24"/>
                <w:szCs w:val="24"/>
              </w:rPr>
            </w:pPr>
            <w:r w:rsidRPr="00837164">
              <w:rPr>
                <w:rFonts w:eastAsia="Times New Roman"/>
                <w:b/>
                <w:i w:val="0"/>
                <w:sz w:val="24"/>
                <w:szCs w:val="24"/>
              </w:rPr>
              <w:t>Druh spaľovacieho zariadenia</w:t>
            </w:r>
          </w:p>
        </w:tc>
        <w:tc>
          <w:tcPr>
            <w:tcW w:w="4844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11D8" w:rsidRPr="00837164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b/>
                <w:i w:val="0"/>
                <w:sz w:val="24"/>
                <w:szCs w:val="24"/>
              </w:rPr>
            </w:pPr>
            <w:r w:rsidRPr="00837164">
              <w:rPr>
                <w:rFonts w:eastAsia="Times New Roman"/>
                <w:b/>
                <w:i w:val="0"/>
                <w:sz w:val="24"/>
                <w:szCs w:val="24"/>
              </w:rPr>
              <w:t>Sezónne emisie vykurovania priestoru</w:t>
            </w:r>
            <w:r w:rsidR="00837164">
              <w:rPr>
                <w:rFonts w:eastAsia="Times New Roman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2511D8" w:rsidRPr="00F55895" w:rsidTr="00D86AF1">
        <w:trPr>
          <w:cantSplit/>
          <w:trHeight w:val="300"/>
          <w:jc w:val="center"/>
        </w:trPr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11D8" w:rsidRPr="00837164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b/>
                <w:i w:val="0"/>
                <w:sz w:val="24"/>
                <w:szCs w:val="24"/>
              </w:rPr>
            </w:pPr>
            <w:r w:rsidRPr="00837164">
              <w:rPr>
                <w:rFonts w:eastAsia="Times New Roman"/>
                <w:b/>
                <w:i w:val="0"/>
                <w:sz w:val="24"/>
                <w:szCs w:val="24"/>
              </w:rPr>
              <w:t>CO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11D8" w:rsidRPr="00837164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b/>
                <w:i w:val="0"/>
                <w:sz w:val="24"/>
                <w:szCs w:val="24"/>
              </w:rPr>
            </w:pPr>
            <w:r w:rsidRPr="00837164">
              <w:rPr>
                <w:rFonts w:eastAsia="Times New Roman"/>
                <w:b/>
                <w:i w:val="0"/>
                <w:sz w:val="24"/>
                <w:szCs w:val="24"/>
              </w:rPr>
              <w:t>NOx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11D8" w:rsidRPr="00837164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b/>
                <w:i w:val="0"/>
                <w:sz w:val="24"/>
                <w:szCs w:val="24"/>
              </w:rPr>
            </w:pPr>
            <w:r w:rsidRPr="00837164">
              <w:rPr>
                <w:rFonts w:eastAsia="Times New Roman"/>
                <w:b/>
                <w:i w:val="0"/>
                <w:sz w:val="24"/>
                <w:szCs w:val="24"/>
              </w:rPr>
              <w:t>Plynné organické zlúčeniny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1D8" w:rsidRPr="00837164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b/>
                <w:i w:val="0"/>
                <w:sz w:val="24"/>
                <w:szCs w:val="24"/>
              </w:rPr>
            </w:pPr>
            <w:r w:rsidRPr="00837164">
              <w:rPr>
                <w:rFonts w:eastAsia="Times New Roman"/>
                <w:b/>
                <w:i w:val="0"/>
                <w:sz w:val="24"/>
                <w:szCs w:val="24"/>
              </w:rPr>
              <w:t>Tuhé</w:t>
            </w:r>
          </w:p>
          <w:p w:rsidR="002511D8" w:rsidRPr="00837164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b/>
                <w:i w:val="0"/>
                <w:sz w:val="24"/>
                <w:szCs w:val="24"/>
              </w:rPr>
            </w:pPr>
            <w:r w:rsidRPr="00837164">
              <w:rPr>
                <w:rFonts w:eastAsia="Times New Roman"/>
                <w:b/>
                <w:i w:val="0"/>
                <w:sz w:val="24"/>
                <w:szCs w:val="24"/>
              </w:rPr>
              <w:t>častice</w:t>
            </w:r>
          </w:p>
        </w:tc>
      </w:tr>
      <w:tr w:rsidR="002511D8" w:rsidRPr="00F55895" w:rsidTr="00D86AF1">
        <w:trPr>
          <w:cantSplit/>
          <w:trHeight w:val="340"/>
          <w:jc w:val="center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511D8" w:rsidRPr="004E6FD2" w:rsidRDefault="002511D8" w:rsidP="004E6FD2">
            <w:pPr>
              <w:pStyle w:val="textobt"/>
              <w:spacing w:before="0" w:after="0"/>
              <w:rPr>
                <w:rFonts w:eastAsia="Times New Roman"/>
                <w:i w:val="0"/>
                <w:sz w:val="24"/>
                <w:szCs w:val="24"/>
              </w:rPr>
            </w:pPr>
            <w:r w:rsidRPr="004E6FD2">
              <w:rPr>
                <w:rFonts w:eastAsia="Times New Roman"/>
                <w:i w:val="0"/>
                <w:sz w:val="24"/>
                <w:szCs w:val="24"/>
              </w:rPr>
              <w:t>Kotly na tuhé palivá z biomasy s automatickým alebo ručným prikladaním [mg/m</w:t>
            </w:r>
            <w:r w:rsidRPr="004E6FD2">
              <w:rPr>
                <w:rFonts w:eastAsia="Times New Roman"/>
                <w:i w:val="0"/>
                <w:sz w:val="24"/>
                <w:szCs w:val="24"/>
                <w:vertAlign w:val="superscript"/>
              </w:rPr>
              <w:t>3</w:t>
            </w:r>
            <w:r w:rsidRPr="004E6FD2">
              <w:rPr>
                <w:rFonts w:eastAsia="Times New Roman"/>
                <w:i w:val="0"/>
                <w:sz w:val="24"/>
                <w:szCs w:val="24"/>
              </w:rPr>
              <w:t xml:space="preserve"> pri 10 % O</w:t>
            </w:r>
            <w:r w:rsidRPr="004E6FD2">
              <w:rPr>
                <w:rFonts w:eastAsia="Times New Roman"/>
                <w:i w:val="0"/>
                <w:sz w:val="24"/>
                <w:szCs w:val="24"/>
                <w:vertAlign w:val="subscript"/>
              </w:rPr>
              <w:t>2</w:t>
            </w:r>
            <w:r w:rsidRPr="004E6FD2">
              <w:rPr>
                <w:rFonts w:eastAsia="Times New Roman"/>
                <w:i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500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40</w:t>
            </w:r>
          </w:p>
        </w:tc>
      </w:tr>
      <w:tr w:rsidR="002511D8" w:rsidRPr="00F55895" w:rsidTr="00D86AF1">
        <w:trPr>
          <w:cantSplit/>
          <w:trHeight w:val="340"/>
          <w:jc w:val="center"/>
        </w:trPr>
        <w:tc>
          <w:tcPr>
            <w:tcW w:w="3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511D8" w:rsidRPr="004E6FD2" w:rsidRDefault="002511D8" w:rsidP="004E6FD2">
            <w:pPr>
              <w:pStyle w:val="textobt"/>
              <w:spacing w:before="0" w:after="0"/>
              <w:rPr>
                <w:rFonts w:eastAsia="Times New Roman"/>
                <w:i w:val="0"/>
                <w:sz w:val="24"/>
                <w:szCs w:val="24"/>
              </w:rPr>
            </w:pPr>
            <w:r w:rsidRPr="004E6FD2">
              <w:rPr>
                <w:rFonts w:eastAsia="Times New Roman"/>
                <w:i w:val="0"/>
                <w:sz w:val="24"/>
                <w:szCs w:val="24"/>
              </w:rPr>
              <w:t>Spredu otvorené lokálne ohrievače priestoru na tuhé palivá z biomasy [mg/m</w:t>
            </w:r>
            <w:r w:rsidRPr="004E6FD2">
              <w:rPr>
                <w:rFonts w:eastAsia="Times New Roman"/>
                <w:i w:val="0"/>
                <w:sz w:val="24"/>
                <w:szCs w:val="24"/>
                <w:vertAlign w:val="superscript"/>
              </w:rPr>
              <w:t xml:space="preserve">3 </w:t>
            </w:r>
            <w:r w:rsidRPr="004E6FD2">
              <w:rPr>
                <w:rFonts w:eastAsia="Times New Roman"/>
                <w:i w:val="0"/>
                <w:sz w:val="24"/>
                <w:szCs w:val="24"/>
              </w:rPr>
              <w:t>pri 13 % O</w:t>
            </w:r>
            <w:r w:rsidRPr="004E6FD2">
              <w:rPr>
                <w:rFonts w:eastAsia="Times New Roman"/>
                <w:i w:val="0"/>
                <w:sz w:val="24"/>
                <w:szCs w:val="24"/>
                <w:vertAlign w:val="subscript"/>
              </w:rPr>
              <w:t>2</w:t>
            </w:r>
            <w:r w:rsidRPr="004E6FD2">
              <w:rPr>
                <w:rFonts w:eastAsia="Times New Roman"/>
                <w:i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2000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5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0</w:t>
            </w:r>
          </w:p>
        </w:tc>
      </w:tr>
      <w:tr w:rsidR="002511D8" w:rsidRPr="00F55895" w:rsidTr="00D86AF1">
        <w:trPr>
          <w:cantSplit/>
          <w:trHeight w:val="340"/>
          <w:jc w:val="center"/>
        </w:trPr>
        <w:tc>
          <w:tcPr>
            <w:tcW w:w="3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511D8" w:rsidRPr="004E6FD2" w:rsidRDefault="002511D8" w:rsidP="004E6FD2">
            <w:pPr>
              <w:pStyle w:val="textobt"/>
              <w:spacing w:before="0" w:after="0"/>
              <w:rPr>
                <w:rFonts w:eastAsia="Times New Roman"/>
                <w:i w:val="0"/>
                <w:sz w:val="24"/>
                <w:szCs w:val="24"/>
              </w:rPr>
            </w:pPr>
            <w:r w:rsidRPr="004E6FD2">
              <w:rPr>
                <w:rFonts w:eastAsia="Times New Roman"/>
                <w:i w:val="0"/>
                <w:sz w:val="24"/>
                <w:szCs w:val="24"/>
              </w:rPr>
              <w:t>Spredu zatvorené lokálne ohrievače priestoru na tuhé palivá z biomasy iné ako lisované drevo (pelely) [mg/m</w:t>
            </w:r>
            <w:r w:rsidRPr="004E6FD2">
              <w:rPr>
                <w:rFonts w:eastAsia="Times New Roman"/>
                <w:i w:val="0"/>
                <w:sz w:val="24"/>
                <w:szCs w:val="24"/>
                <w:vertAlign w:val="superscript"/>
              </w:rPr>
              <w:t xml:space="preserve">3 </w:t>
            </w:r>
            <w:r w:rsidRPr="004E6FD2">
              <w:rPr>
                <w:rFonts w:eastAsia="Times New Roman"/>
                <w:i w:val="0"/>
                <w:sz w:val="24"/>
                <w:szCs w:val="24"/>
              </w:rPr>
              <w:t>pri 13 % O</w:t>
            </w:r>
            <w:r w:rsidRPr="004E6FD2">
              <w:rPr>
                <w:rFonts w:eastAsia="Times New Roman"/>
                <w:i w:val="0"/>
                <w:sz w:val="24"/>
                <w:szCs w:val="24"/>
                <w:vertAlign w:val="subscript"/>
              </w:rPr>
              <w:t>2</w:t>
            </w:r>
            <w:r w:rsidRPr="004E6FD2">
              <w:rPr>
                <w:rFonts w:eastAsia="Times New Roman"/>
                <w:i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1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500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20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12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4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0</w:t>
            </w:r>
          </w:p>
        </w:tc>
      </w:tr>
      <w:tr w:rsidR="002511D8" w:rsidRPr="00F55895" w:rsidTr="00D86AF1">
        <w:trPr>
          <w:cantSplit/>
          <w:trHeight w:val="340"/>
          <w:jc w:val="center"/>
        </w:trPr>
        <w:tc>
          <w:tcPr>
            <w:tcW w:w="3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511D8" w:rsidRPr="004E6FD2" w:rsidRDefault="002511D8" w:rsidP="004E6FD2">
            <w:pPr>
              <w:pStyle w:val="textobt"/>
              <w:spacing w:before="0" w:after="0"/>
              <w:rPr>
                <w:rFonts w:eastAsia="Times New Roman"/>
                <w:i w:val="0"/>
                <w:sz w:val="24"/>
                <w:szCs w:val="24"/>
              </w:rPr>
            </w:pPr>
            <w:r w:rsidRPr="004E6FD2">
              <w:rPr>
                <w:rFonts w:eastAsia="Times New Roman"/>
                <w:i w:val="0"/>
                <w:sz w:val="24"/>
                <w:szCs w:val="24"/>
              </w:rPr>
              <w:t>Spredu zatvorené lokálne ohrievače priestoru na tuhé palivá z biomasy  vo forme lisovaného dreva (pelety) [mg/m</w:t>
            </w:r>
            <w:r w:rsidRPr="004E6FD2">
              <w:rPr>
                <w:rFonts w:eastAsia="Times New Roman"/>
                <w:i w:val="0"/>
                <w:sz w:val="24"/>
                <w:szCs w:val="24"/>
                <w:vertAlign w:val="superscript"/>
              </w:rPr>
              <w:t xml:space="preserve">3 </w:t>
            </w:r>
            <w:r w:rsidRPr="004E6FD2">
              <w:rPr>
                <w:rFonts w:eastAsia="Times New Roman"/>
                <w:i w:val="0"/>
                <w:sz w:val="24"/>
                <w:szCs w:val="24"/>
              </w:rPr>
              <w:t>pri 13 % O</w:t>
            </w:r>
            <w:r w:rsidRPr="004E6FD2">
              <w:rPr>
                <w:rFonts w:eastAsia="Times New Roman"/>
                <w:i w:val="0"/>
                <w:sz w:val="24"/>
                <w:szCs w:val="24"/>
                <w:vertAlign w:val="subscript"/>
              </w:rPr>
              <w:t>2</w:t>
            </w:r>
            <w:r w:rsidRPr="004E6FD2">
              <w:rPr>
                <w:rFonts w:eastAsia="Times New Roman"/>
                <w:i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30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20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6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7164" w:rsidRDefault="00837164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2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0</w:t>
            </w:r>
          </w:p>
        </w:tc>
      </w:tr>
      <w:tr w:rsidR="002511D8" w:rsidRPr="00F55895" w:rsidTr="00D86AF1">
        <w:trPr>
          <w:cantSplit/>
          <w:trHeight w:val="340"/>
          <w:jc w:val="center"/>
        </w:trPr>
        <w:tc>
          <w:tcPr>
            <w:tcW w:w="37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511D8" w:rsidRPr="004E6FD2" w:rsidRDefault="002511D8" w:rsidP="004E6FD2">
            <w:pPr>
              <w:pStyle w:val="textobt"/>
              <w:spacing w:before="0" w:after="0"/>
              <w:rPr>
                <w:rFonts w:eastAsia="Times New Roman"/>
                <w:i w:val="0"/>
                <w:sz w:val="24"/>
                <w:szCs w:val="24"/>
              </w:rPr>
            </w:pPr>
            <w:r w:rsidRPr="004E6FD2">
              <w:rPr>
                <w:rFonts w:eastAsia="Times New Roman"/>
                <w:i w:val="0"/>
                <w:sz w:val="24"/>
                <w:szCs w:val="24"/>
              </w:rPr>
              <w:t>Variče [mg/m</w:t>
            </w:r>
            <w:r w:rsidRPr="004E6FD2">
              <w:rPr>
                <w:rFonts w:eastAsia="Times New Roman"/>
                <w:i w:val="0"/>
                <w:sz w:val="24"/>
                <w:szCs w:val="24"/>
                <w:vertAlign w:val="superscript"/>
              </w:rPr>
              <w:t xml:space="preserve">3 </w:t>
            </w:r>
            <w:r w:rsidRPr="004E6FD2">
              <w:rPr>
                <w:rFonts w:eastAsia="Times New Roman"/>
                <w:i w:val="0"/>
                <w:sz w:val="24"/>
                <w:szCs w:val="24"/>
              </w:rPr>
              <w:t>pri 13 % O</w:t>
            </w:r>
            <w:r w:rsidRPr="004E6FD2">
              <w:rPr>
                <w:rFonts w:eastAsia="Times New Roman"/>
                <w:i w:val="0"/>
                <w:sz w:val="24"/>
                <w:szCs w:val="24"/>
                <w:vertAlign w:val="subscript"/>
              </w:rPr>
              <w:t>2</w:t>
            </w:r>
            <w:r w:rsidRPr="004E6FD2">
              <w:rPr>
                <w:rFonts w:eastAsia="Times New Roman"/>
                <w:i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1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500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20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12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11D8" w:rsidRPr="00F55895" w:rsidRDefault="002511D8" w:rsidP="004E6FD2">
            <w:pPr>
              <w:pStyle w:val="textobt"/>
              <w:spacing w:before="0" w:after="0"/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4</w:t>
            </w:r>
            <w:r w:rsidRPr="00F55895">
              <w:rPr>
                <w:rFonts w:eastAsia="Times New Roman"/>
                <w:i w:val="0"/>
                <w:sz w:val="24"/>
                <w:szCs w:val="24"/>
              </w:rPr>
              <w:t>0</w:t>
            </w:r>
          </w:p>
        </w:tc>
      </w:tr>
    </w:tbl>
    <w:p w:rsidR="002511D8" w:rsidRPr="001E7AEB" w:rsidRDefault="002511D8" w:rsidP="002511D8">
      <w:pPr>
        <w:spacing w:line="360" w:lineRule="auto"/>
        <w:ind w:left="180" w:hanging="180"/>
        <w:jc w:val="both"/>
        <w:rPr>
          <w:rStyle w:val="Siln"/>
          <w:b w:val="0"/>
          <w:bCs/>
        </w:rPr>
      </w:pPr>
    </w:p>
    <w:p w:rsidR="002511D8" w:rsidRDefault="002511D8" w:rsidP="002511D8">
      <w:pPr>
        <w:numPr>
          <w:ilvl w:val="1"/>
          <w:numId w:val="3"/>
        </w:numPr>
        <w:jc w:val="both"/>
      </w:pPr>
      <w:r w:rsidRPr="001E7AEB">
        <w:t xml:space="preserve">Zariadenia </w:t>
      </w:r>
      <w:r w:rsidRPr="00F55895">
        <w:t xml:space="preserve">na spaľovanie tuhej biomasy musia minimálne dosiahnuť úroveň sezónnej energetickej účinnosti vykurovania </w:t>
      </w:r>
      <w:r>
        <w:t xml:space="preserve">priestoru </w:t>
      </w:r>
      <w:r w:rsidRPr="00F55895">
        <w:t>uveden</w:t>
      </w:r>
      <w:r>
        <w:t>ú</w:t>
      </w:r>
      <w:r w:rsidRPr="00F55895">
        <w:t xml:space="preserve"> v tabuľke č. 2:</w:t>
      </w:r>
    </w:p>
    <w:p w:rsidR="002511D8" w:rsidRDefault="002511D8" w:rsidP="002511D8">
      <w:pPr>
        <w:ind w:left="360"/>
        <w:jc w:val="both"/>
      </w:pPr>
    </w:p>
    <w:p w:rsidR="00D86AF1" w:rsidRDefault="00D86AF1" w:rsidP="002511D8">
      <w:pPr>
        <w:ind w:left="360"/>
        <w:jc w:val="both"/>
      </w:pPr>
    </w:p>
    <w:p w:rsidR="002511D8" w:rsidRDefault="002511D8" w:rsidP="002511D8">
      <w:pPr>
        <w:ind w:left="360"/>
        <w:jc w:val="both"/>
      </w:pPr>
      <w:r>
        <w:lastRenderedPageBreak/>
        <w:t>Tabuľka č. 2</w:t>
      </w:r>
    </w:p>
    <w:tbl>
      <w:tblPr>
        <w:tblW w:w="8647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31"/>
        <w:gridCol w:w="2916"/>
        <w:tblGridChange w:id="1">
          <w:tblGrid>
            <w:gridCol w:w="5731"/>
            <w:gridCol w:w="2916"/>
          </w:tblGrid>
        </w:tblGridChange>
      </w:tblGrid>
      <w:tr w:rsidR="002511D8" w:rsidTr="00D86AF1">
        <w:tc>
          <w:tcPr>
            <w:tcW w:w="57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511D8" w:rsidRDefault="002511D8" w:rsidP="004E6FD2">
            <w:pPr>
              <w:jc w:val="both"/>
            </w:pPr>
            <w:r w:rsidRPr="004B28BD">
              <w:rPr>
                <w:rFonts w:eastAsia="Times New Roman"/>
                <w:b/>
              </w:rPr>
              <w:t>Druh spaľovacieho zariadenia</w:t>
            </w:r>
          </w:p>
        </w:tc>
        <w:tc>
          <w:tcPr>
            <w:tcW w:w="29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511D8" w:rsidRPr="004E6FD2" w:rsidRDefault="002511D8" w:rsidP="004E6FD2">
            <w:pPr>
              <w:jc w:val="center"/>
              <w:rPr>
                <w:b/>
              </w:rPr>
            </w:pPr>
            <w:r w:rsidRPr="004E6FD2">
              <w:rPr>
                <w:b/>
              </w:rPr>
              <w:t>Sezónna energetická účinnosť vykurovania priestoru</w:t>
            </w:r>
            <w:r w:rsidRPr="004B28BD">
              <w:rPr>
                <w:b/>
              </w:rPr>
              <w:t xml:space="preserve"> </w:t>
            </w:r>
            <w:r w:rsidRPr="004E6FD2">
              <w:rPr>
                <w:rFonts w:eastAsia="Times New Roman"/>
                <w:b/>
              </w:rPr>
              <w:t>[%]</w:t>
            </w:r>
          </w:p>
        </w:tc>
      </w:tr>
      <w:tr w:rsidR="002511D8" w:rsidTr="00D86AF1">
        <w:tc>
          <w:tcPr>
            <w:tcW w:w="5731" w:type="dxa"/>
            <w:tcBorders>
              <w:top w:val="single" w:sz="18" w:space="0" w:color="auto"/>
            </w:tcBorders>
            <w:shd w:val="clear" w:color="auto" w:fill="auto"/>
          </w:tcPr>
          <w:p w:rsidR="002511D8" w:rsidRDefault="002511D8" w:rsidP="004E6FD2">
            <w:pPr>
              <w:jc w:val="both"/>
            </w:pPr>
            <w:r w:rsidRPr="004B28BD">
              <w:rPr>
                <w:rFonts w:eastAsia="Times New Roman"/>
              </w:rPr>
              <w:t>Kotly na tuhé palivá z biomasy s menovitým tepelným výkonom 20 kW alebo menej</w:t>
            </w:r>
          </w:p>
        </w:tc>
        <w:tc>
          <w:tcPr>
            <w:tcW w:w="2916" w:type="dxa"/>
            <w:tcBorders>
              <w:top w:val="single" w:sz="18" w:space="0" w:color="auto"/>
            </w:tcBorders>
            <w:shd w:val="clear" w:color="auto" w:fill="auto"/>
          </w:tcPr>
          <w:p w:rsidR="002511D8" w:rsidRDefault="002511D8" w:rsidP="00D86AF1">
            <w:pPr>
              <w:spacing w:before="120"/>
              <w:jc w:val="center"/>
            </w:pPr>
            <w:r>
              <w:t>75</w:t>
            </w:r>
          </w:p>
        </w:tc>
      </w:tr>
      <w:tr w:rsidR="002511D8" w:rsidTr="00D86AF1">
        <w:tc>
          <w:tcPr>
            <w:tcW w:w="5731" w:type="dxa"/>
            <w:shd w:val="clear" w:color="auto" w:fill="auto"/>
          </w:tcPr>
          <w:p w:rsidR="002511D8" w:rsidRDefault="002511D8" w:rsidP="004E6FD2">
            <w:pPr>
              <w:jc w:val="both"/>
            </w:pPr>
            <w:r w:rsidRPr="004B28BD">
              <w:rPr>
                <w:rFonts w:eastAsia="Times New Roman"/>
              </w:rPr>
              <w:t xml:space="preserve">Kotly na tuhé palivá z biomasy s menovitým tepelným výkonom nad 20 kW </w:t>
            </w:r>
          </w:p>
        </w:tc>
        <w:tc>
          <w:tcPr>
            <w:tcW w:w="2916" w:type="dxa"/>
            <w:shd w:val="clear" w:color="auto" w:fill="auto"/>
          </w:tcPr>
          <w:p w:rsidR="002511D8" w:rsidRDefault="002511D8" w:rsidP="00D86AF1">
            <w:pPr>
              <w:spacing w:before="120"/>
              <w:jc w:val="center"/>
            </w:pPr>
            <w:r>
              <w:t>77</w:t>
            </w:r>
          </w:p>
        </w:tc>
      </w:tr>
      <w:tr w:rsidR="002511D8" w:rsidTr="00D86AF1">
        <w:tc>
          <w:tcPr>
            <w:tcW w:w="5731" w:type="dxa"/>
            <w:shd w:val="clear" w:color="auto" w:fill="auto"/>
          </w:tcPr>
          <w:p w:rsidR="002511D8" w:rsidRDefault="002511D8" w:rsidP="004E6FD2">
            <w:pPr>
              <w:jc w:val="both"/>
            </w:pPr>
            <w:r w:rsidRPr="004B28BD">
              <w:rPr>
                <w:rFonts w:eastAsia="Times New Roman"/>
              </w:rPr>
              <w:t>Spredu otvorené lokálne ohrievače priestoru na tuhé palivá z biomasy</w:t>
            </w:r>
          </w:p>
        </w:tc>
        <w:tc>
          <w:tcPr>
            <w:tcW w:w="2916" w:type="dxa"/>
            <w:shd w:val="clear" w:color="auto" w:fill="auto"/>
          </w:tcPr>
          <w:p w:rsidR="002511D8" w:rsidRDefault="002511D8" w:rsidP="00D86AF1">
            <w:pPr>
              <w:spacing w:before="120"/>
              <w:jc w:val="center"/>
            </w:pPr>
            <w:r>
              <w:t>30</w:t>
            </w:r>
          </w:p>
        </w:tc>
      </w:tr>
      <w:tr w:rsidR="002511D8" w:rsidTr="00D86AF1">
        <w:tc>
          <w:tcPr>
            <w:tcW w:w="5731" w:type="dxa"/>
            <w:shd w:val="clear" w:color="auto" w:fill="auto"/>
          </w:tcPr>
          <w:p w:rsidR="002511D8" w:rsidRDefault="002511D8" w:rsidP="004E6FD2">
            <w:pPr>
              <w:jc w:val="both"/>
            </w:pPr>
            <w:r w:rsidRPr="004B28BD">
              <w:rPr>
                <w:rFonts w:eastAsia="Times New Roman"/>
              </w:rPr>
              <w:t>Spredu zatvorené lokálne ohrievače priestoru na tuhé palivá z biomasy iné ako lisované drevo (pelety)</w:t>
            </w:r>
          </w:p>
        </w:tc>
        <w:tc>
          <w:tcPr>
            <w:tcW w:w="2916" w:type="dxa"/>
            <w:shd w:val="clear" w:color="auto" w:fill="auto"/>
          </w:tcPr>
          <w:p w:rsidR="002511D8" w:rsidRDefault="002511D8" w:rsidP="00D86AF1">
            <w:pPr>
              <w:spacing w:before="120"/>
              <w:jc w:val="center"/>
            </w:pPr>
            <w:r>
              <w:t>65</w:t>
            </w:r>
          </w:p>
        </w:tc>
      </w:tr>
      <w:tr w:rsidR="002511D8" w:rsidTr="00D86AF1">
        <w:tc>
          <w:tcPr>
            <w:tcW w:w="5731" w:type="dxa"/>
            <w:shd w:val="clear" w:color="auto" w:fill="auto"/>
          </w:tcPr>
          <w:p w:rsidR="002511D8" w:rsidRDefault="002511D8" w:rsidP="004E6FD2">
            <w:pPr>
              <w:jc w:val="both"/>
            </w:pPr>
            <w:r w:rsidRPr="004B28BD">
              <w:rPr>
                <w:rFonts w:eastAsia="Times New Roman"/>
              </w:rPr>
              <w:t>Spredu zatvorené lokálne ohrievače priestoru na tuhé palivá z biomasy vo forme lisovaného dreva  (pelety)</w:t>
            </w:r>
          </w:p>
        </w:tc>
        <w:tc>
          <w:tcPr>
            <w:tcW w:w="2916" w:type="dxa"/>
            <w:shd w:val="clear" w:color="auto" w:fill="auto"/>
          </w:tcPr>
          <w:p w:rsidR="002511D8" w:rsidRDefault="002511D8" w:rsidP="00D86AF1">
            <w:pPr>
              <w:spacing w:before="120"/>
              <w:jc w:val="center"/>
            </w:pPr>
            <w:r>
              <w:t>79</w:t>
            </w:r>
          </w:p>
        </w:tc>
      </w:tr>
      <w:tr w:rsidR="002511D8" w:rsidTr="00D86AF1">
        <w:tc>
          <w:tcPr>
            <w:tcW w:w="5731" w:type="dxa"/>
            <w:shd w:val="clear" w:color="auto" w:fill="auto"/>
          </w:tcPr>
          <w:p w:rsidR="002511D8" w:rsidRPr="004B28BD" w:rsidRDefault="002511D8" w:rsidP="004E6FD2">
            <w:pPr>
              <w:jc w:val="both"/>
              <w:rPr>
                <w:rFonts w:eastAsia="Times New Roman"/>
              </w:rPr>
            </w:pPr>
            <w:r w:rsidRPr="004B28BD">
              <w:rPr>
                <w:rFonts w:eastAsia="Times New Roman"/>
              </w:rPr>
              <w:t>Variče</w:t>
            </w:r>
          </w:p>
        </w:tc>
        <w:tc>
          <w:tcPr>
            <w:tcW w:w="2916" w:type="dxa"/>
            <w:shd w:val="clear" w:color="auto" w:fill="auto"/>
          </w:tcPr>
          <w:p w:rsidR="002511D8" w:rsidRDefault="002511D8" w:rsidP="004E6FD2">
            <w:pPr>
              <w:jc w:val="center"/>
            </w:pPr>
            <w:r>
              <w:t>65</w:t>
            </w:r>
          </w:p>
        </w:tc>
      </w:tr>
    </w:tbl>
    <w:p w:rsidR="002511D8" w:rsidRDefault="002511D8" w:rsidP="002511D8">
      <w:pPr>
        <w:ind w:left="360"/>
        <w:jc w:val="both"/>
      </w:pPr>
    </w:p>
    <w:p w:rsidR="002511D8" w:rsidRPr="00F55895" w:rsidRDefault="002511D8" w:rsidP="002511D8">
      <w:pPr>
        <w:spacing w:before="120"/>
        <w:jc w:val="both"/>
      </w:pPr>
      <w:r w:rsidRPr="004E6FD2">
        <w:rPr>
          <w:i/>
        </w:rPr>
        <w:t>Pozn.:</w:t>
      </w:r>
      <w:r w:rsidRPr="00F55895">
        <w:t xml:space="preserve"> Meranie hodnôt produkovaných emisií a</w:t>
      </w:r>
      <w:r w:rsidR="00D86AF1">
        <w:t xml:space="preserve"> energetickej </w:t>
      </w:r>
      <w:r w:rsidRPr="00F55895">
        <w:t xml:space="preserve">účinnosti zariadení sa vykonáva podľa  </w:t>
      </w:r>
      <w:r>
        <w:t>príslušných n</w:t>
      </w:r>
      <w:r w:rsidRPr="00F55895">
        <w:t>ariaden</w:t>
      </w:r>
      <w:r>
        <w:t>í</w:t>
      </w:r>
      <w:r w:rsidRPr="00F55895">
        <w:t xml:space="preserve"> komisie </w:t>
      </w:r>
      <w:r>
        <w:t>(</w:t>
      </w:r>
      <w:r w:rsidRPr="00F55895">
        <w:t>EÚ</w:t>
      </w:r>
      <w:r>
        <w:t>)</w:t>
      </w:r>
      <w:r w:rsidRPr="00F55895">
        <w:t xml:space="preserve"> 2015/1189</w:t>
      </w:r>
      <w:r>
        <w:t xml:space="preserve"> z 28. apríla 2015</w:t>
      </w:r>
      <w:r w:rsidRPr="00F55895">
        <w:t xml:space="preserve"> </w:t>
      </w:r>
      <w:r>
        <w:t>a </w:t>
      </w:r>
      <w:r w:rsidRPr="00F55895">
        <w:t xml:space="preserve">2015/1185 </w:t>
      </w:r>
      <w:r>
        <w:t>z 24. apríla 2015.</w:t>
      </w:r>
    </w:p>
    <w:p w:rsidR="002511D8" w:rsidRPr="004A2FC1" w:rsidRDefault="002511D8" w:rsidP="002511D8">
      <w:pPr>
        <w:spacing w:before="120"/>
        <w:jc w:val="both"/>
      </w:pPr>
    </w:p>
    <w:p w:rsidR="002511D8" w:rsidRDefault="002511D8" w:rsidP="00877950">
      <w:pPr>
        <w:pStyle w:val="Zkladntext2"/>
        <w:numPr>
          <w:ilvl w:val="1"/>
          <w:numId w:val="3"/>
        </w:numPr>
        <w:spacing w:before="120" w:after="0" w:line="240" w:lineRule="auto"/>
        <w:jc w:val="both"/>
      </w:pPr>
      <w:r w:rsidRPr="00877950">
        <w:t>Regulácia tepelného výkonu musí byť umožnená v rozsahu najmenej od 50 do 100 % menovitého tepelného výkonu pre zdroje tepla s ručným prikladaním a od 30 do 100 % menovitého tepelného výkonu pre zdroje tepla s automatickým prikladaním. Správny spôsob regulácie musí byť popísaný v sprievodnej dokumentácii k</w:t>
      </w:r>
      <w:r w:rsidR="00877950">
        <w:t> </w:t>
      </w:r>
      <w:r w:rsidRPr="00877950">
        <w:t>produktu</w:t>
      </w:r>
      <w:r w:rsidR="00877950">
        <w:t>.</w:t>
      </w:r>
    </w:p>
    <w:p w:rsidR="00877950" w:rsidRDefault="00877950" w:rsidP="00877950">
      <w:pPr>
        <w:pStyle w:val="Zkladntext2"/>
        <w:spacing w:before="120" w:after="0" w:line="240" w:lineRule="auto"/>
        <w:ind w:left="360"/>
        <w:jc w:val="both"/>
        <w:rPr>
          <w:color w:val="FF0000"/>
        </w:rPr>
      </w:pPr>
    </w:p>
    <w:p w:rsidR="002511D8" w:rsidRPr="00F55895" w:rsidRDefault="002511D8" w:rsidP="00877950">
      <w:pPr>
        <w:pStyle w:val="Zkladntext2"/>
        <w:spacing w:after="0" w:line="240" w:lineRule="auto"/>
        <w:ind w:left="425" w:hanging="425"/>
        <w:jc w:val="both"/>
      </w:pPr>
      <w:r w:rsidRPr="005F473A">
        <w:rPr>
          <w:b/>
        </w:rPr>
        <w:t>4.4</w:t>
      </w:r>
      <w:r>
        <w:tab/>
      </w:r>
      <w:r w:rsidRPr="00F55895">
        <w:t xml:space="preserve">Informácie o zariadeniach pre spaľovanie tuhej biomasy pre používateľa musia byť uvedené na produkte alebo v sprievodnej dokumentácii, okrem iného musí obsahovať nasledujúce súčasti: </w:t>
      </w:r>
    </w:p>
    <w:p w:rsidR="002511D8" w:rsidRPr="00F55895" w:rsidRDefault="002511D8" w:rsidP="00877950">
      <w:pPr>
        <w:pStyle w:val="Zkladntext2"/>
        <w:numPr>
          <w:ilvl w:val="0"/>
          <w:numId w:val="7"/>
        </w:numPr>
        <w:spacing w:before="120" w:line="240" w:lineRule="auto"/>
        <w:ind w:left="714" w:hanging="357"/>
        <w:jc w:val="both"/>
      </w:pPr>
      <w:r w:rsidRPr="00F55895">
        <w:t>Návod na montáž pre montážne podniky a príručky pre koncových používateľov, ako aj voľne prístupné webové lokality výrobcov, ich autorizovaných zástupcov a dovozcov, s nasledujúcimi informáciami:</w:t>
      </w:r>
    </w:p>
    <w:p w:rsidR="002511D8" w:rsidRDefault="002511D8" w:rsidP="00877950">
      <w:pPr>
        <w:pStyle w:val="Odsekzoznamu"/>
        <w:numPr>
          <w:ilvl w:val="0"/>
          <w:numId w:val="9"/>
        </w:numPr>
        <w:spacing w:before="120"/>
        <w:ind w:left="993" w:hanging="284"/>
        <w:jc w:val="both"/>
      </w:pPr>
      <w:r w:rsidRPr="00F55895">
        <w:t xml:space="preserve">technické parametre zariadenia a technické parametre namerané a vypočítané </w:t>
      </w:r>
      <w:r>
        <w:t xml:space="preserve">  </w:t>
      </w:r>
      <w:r>
        <w:br/>
      </w:r>
      <w:r w:rsidRPr="00F55895">
        <w:t>v súlade s príslušným</w:t>
      </w:r>
      <w:r>
        <w:t>i</w:t>
      </w:r>
      <w:r w:rsidRPr="00F55895">
        <w:t xml:space="preserve"> </w:t>
      </w:r>
      <w:r>
        <w:t>n</w:t>
      </w:r>
      <w:r w:rsidRPr="00F55895">
        <w:t>ariaden</w:t>
      </w:r>
      <w:r>
        <w:t>iami</w:t>
      </w:r>
      <w:r w:rsidRPr="00F55895">
        <w:t xml:space="preserve"> komisie </w:t>
      </w:r>
      <w:r>
        <w:t>(</w:t>
      </w:r>
      <w:r w:rsidRPr="00F55895">
        <w:t>EÚ</w:t>
      </w:r>
      <w:r>
        <w:t>)</w:t>
      </w:r>
      <w:r w:rsidRPr="00F55895">
        <w:t xml:space="preserve"> 2015/1189</w:t>
      </w:r>
      <w:r>
        <w:t xml:space="preserve"> z 28. apríla 2015</w:t>
      </w:r>
      <w:r w:rsidRPr="00F55895">
        <w:t xml:space="preserve"> </w:t>
      </w:r>
      <w:r>
        <w:t>a </w:t>
      </w:r>
      <w:r w:rsidRPr="00F55895">
        <w:t xml:space="preserve">2015/1185 </w:t>
      </w:r>
      <w:r>
        <w:t>z 24. apríla 2015</w:t>
      </w:r>
      <w:r w:rsidR="00877950">
        <w:t>,</w:t>
      </w:r>
    </w:p>
    <w:p w:rsidR="002511D8" w:rsidRDefault="002511D8" w:rsidP="00877950">
      <w:pPr>
        <w:pStyle w:val="Odsekzoznamu"/>
        <w:numPr>
          <w:ilvl w:val="0"/>
          <w:numId w:val="9"/>
        </w:numPr>
        <w:spacing w:before="120"/>
        <w:ind w:left="993" w:hanging="284"/>
        <w:jc w:val="both"/>
      </w:pPr>
      <w:r w:rsidRPr="00F55895">
        <w:t xml:space="preserve">všetky osobitné bezpečnostné opatrenia, ktoré je potrebné prijať pri montáži, </w:t>
      </w:r>
      <w:r>
        <w:br/>
      </w:r>
      <w:r w:rsidRPr="00F55895">
        <w:t>inštalácii alebo údržbe zariadenia na spaľovanie tuhej biomasy,</w:t>
      </w:r>
    </w:p>
    <w:p w:rsidR="002511D8" w:rsidRDefault="002511D8" w:rsidP="00877950">
      <w:pPr>
        <w:pStyle w:val="Odsekzoznamu"/>
        <w:numPr>
          <w:ilvl w:val="0"/>
          <w:numId w:val="9"/>
        </w:numPr>
        <w:spacing w:before="120"/>
        <w:ind w:left="993" w:hanging="284"/>
        <w:jc w:val="both"/>
      </w:pPr>
      <w:r w:rsidRPr="00F55895">
        <w:t xml:space="preserve">pokyny o správnom spôsobe prevádzky zariadenia na spaľovanie tuhej biomasy </w:t>
      </w:r>
      <w:r>
        <w:br/>
      </w:r>
      <w:r w:rsidRPr="00F55895">
        <w:t xml:space="preserve">a o požiadavkách na kvalitu pre uprednostňované palivo a všetky ostatné iné </w:t>
      </w:r>
      <w:r>
        <w:br/>
      </w:r>
      <w:r w:rsidRPr="00F55895">
        <w:t>vhodné palivá,</w:t>
      </w:r>
    </w:p>
    <w:p w:rsidR="002511D8" w:rsidRPr="00F55895" w:rsidRDefault="002511D8" w:rsidP="00877950">
      <w:pPr>
        <w:pStyle w:val="Odsekzoznamu"/>
        <w:numPr>
          <w:ilvl w:val="0"/>
          <w:numId w:val="9"/>
        </w:numPr>
        <w:spacing w:before="120"/>
        <w:ind w:left="993" w:hanging="284"/>
        <w:jc w:val="both"/>
      </w:pPr>
      <w:r w:rsidRPr="00F55895">
        <w:t xml:space="preserve">informácie dôležité pre demontáž, recykláciu, zneškodnenie </w:t>
      </w:r>
      <w:r>
        <w:t>po skončení</w:t>
      </w:r>
      <w:r w:rsidRPr="00F55895">
        <w:t xml:space="preserve"> </w:t>
      </w:r>
      <w:r>
        <w:br/>
      </w:r>
      <w:r w:rsidRPr="00F55895">
        <w:t>životnosti.</w:t>
      </w:r>
    </w:p>
    <w:p w:rsidR="002511D8" w:rsidRDefault="002511D8" w:rsidP="00877950">
      <w:pPr>
        <w:pStyle w:val="Zkladntext2"/>
        <w:numPr>
          <w:ilvl w:val="0"/>
          <w:numId w:val="7"/>
        </w:numPr>
        <w:spacing w:before="120" w:after="0" w:line="240" w:lineRule="auto"/>
        <w:ind w:left="714" w:hanging="357"/>
        <w:jc w:val="both"/>
      </w:pPr>
      <w:r w:rsidRPr="00F55895">
        <w:t>Technick</w:t>
      </w:r>
      <w:r>
        <w:t>ú</w:t>
      </w:r>
      <w:r w:rsidRPr="00F55895">
        <w:t xml:space="preserve"> dokumentáci</w:t>
      </w:r>
      <w:r>
        <w:t>u</w:t>
      </w:r>
      <w:r w:rsidRPr="00F55895">
        <w:t xml:space="preserve"> na účely posudzovania zhody.</w:t>
      </w:r>
      <w:r w:rsidRPr="000246BB">
        <w:t xml:space="preserve"> </w:t>
      </w:r>
    </w:p>
    <w:p w:rsidR="002511D8" w:rsidRDefault="002511D8" w:rsidP="002511D8">
      <w:pPr>
        <w:pStyle w:val="Zkladntext2"/>
        <w:spacing w:line="240" w:lineRule="auto"/>
        <w:ind w:left="993" w:hanging="993"/>
        <w:jc w:val="both"/>
        <w:rPr>
          <w:color w:val="FF0000"/>
        </w:rPr>
      </w:pPr>
    </w:p>
    <w:p w:rsidR="00877950" w:rsidRPr="007D6CF8" w:rsidRDefault="00877950" w:rsidP="002511D8">
      <w:pPr>
        <w:pStyle w:val="Zkladntext2"/>
        <w:spacing w:line="240" w:lineRule="auto"/>
        <w:ind w:left="993" w:hanging="993"/>
        <w:jc w:val="both"/>
        <w:rPr>
          <w:color w:val="FF0000"/>
        </w:rPr>
      </w:pPr>
    </w:p>
    <w:p w:rsidR="002511D8" w:rsidRDefault="002511D8" w:rsidP="002511D8">
      <w:pPr>
        <w:pStyle w:val="odstavecprvy"/>
        <w:spacing w:before="240" w:line="240" w:lineRule="auto"/>
        <w:rPr>
          <w:rFonts w:cs="Arial"/>
          <w:b/>
          <w:color w:val="auto"/>
          <w:szCs w:val="20"/>
          <w:lang w:eastAsia="cs-CZ"/>
        </w:rPr>
      </w:pPr>
      <w:r>
        <w:rPr>
          <w:b/>
          <w:color w:val="auto"/>
        </w:rPr>
        <w:lastRenderedPageBreak/>
        <w:t xml:space="preserve">5. </w:t>
      </w:r>
      <w:r w:rsidRPr="00CA56AC">
        <w:rPr>
          <w:rFonts w:cs="Arial"/>
          <w:b/>
          <w:color w:val="auto"/>
          <w:szCs w:val="20"/>
          <w:lang w:eastAsia="cs-CZ"/>
        </w:rPr>
        <w:t>P</w:t>
      </w:r>
      <w:r>
        <w:rPr>
          <w:rFonts w:cs="Arial"/>
          <w:b/>
          <w:color w:val="auto"/>
          <w:szCs w:val="20"/>
          <w:lang w:eastAsia="cs-CZ"/>
        </w:rPr>
        <w:t>osudzovanie zhody</w:t>
      </w:r>
    </w:p>
    <w:p w:rsidR="00877950" w:rsidRDefault="00877950" w:rsidP="00877950">
      <w:pPr>
        <w:pStyle w:val="odstavecprvy"/>
        <w:spacing w:line="240" w:lineRule="auto"/>
        <w:rPr>
          <w:rFonts w:cs="Arial"/>
          <w:b/>
          <w:color w:val="auto"/>
          <w:szCs w:val="20"/>
          <w:lang w:eastAsia="cs-CZ"/>
        </w:rPr>
      </w:pPr>
    </w:p>
    <w:p w:rsidR="002511D8" w:rsidRPr="001E7AEB" w:rsidRDefault="002511D8" w:rsidP="002511D8">
      <w:pPr>
        <w:ind w:left="426" w:hanging="426"/>
        <w:jc w:val="both"/>
      </w:pPr>
      <w:r w:rsidRPr="005F473A">
        <w:rPr>
          <w:rFonts w:cs="Arial"/>
          <w:b/>
          <w:szCs w:val="20"/>
        </w:rPr>
        <w:t>5.1</w:t>
      </w:r>
      <w:r>
        <w:rPr>
          <w:rFonts w:cs="Arial"/>
          <w:szCs w:val="20"/>
        </w:rPr>
        <w:tab/>
      </w:r>
      <w:r>
        <w:t xml:space="preserve">Splnenie </w:t>
      </w:r>
      <w:r w:rsidRPr="001E7AEB">
        <w:t>základný</w:t>
      </w:r>
      <w:r>
        <w:t xml:space="preserve">ch požiadaviek podľa bodu 3 žiadateľ </w:t>
      </w:r>
      <w:r w:rsidRPr="001E7AEB">
        <w:t>pr</w:t>
      </w:r>
      <w:r>
        <w:t xml:space="preserve">eukazuje platnými dokladmi </w:t>
      </w:r>
      <w:r w:rsidRPr="001E7AEB">
        <w:t>pre uvedenie produktu na trh a vyhlá</w:t>
      </w:r>
      <w:r>
        <w:t xml:space="preserve">sením o výsledkoch environmentálneho správania </w:t>
      </w:r>
      <w:r w:rsidRPr="001E7AEB">
        <w:t>s</w:t>
      </w:r>
      <w:r>
        <w:t xml:space="preserve">a organizácie. Pri hodnotení súladu s požiadavkami sa </w:t>
      </w:r>
      <w:r w:rsidRPr="001E7AEB">
        <w:t xml:space="preserve">zohľadňuje implementácia </w:t>
      </w:r>
      <w:bookmarkStart w:id="2" w:name="_GoBack"/>
      <w:bookmarkEnd w:id="2"/>
      <w:r w:rsidRPr="001E7AEB">
        <w:t xml:space="preserve">uznávaných systémov environmentálneho manažérstva, napríklad EMAS podľa zákona </w:t>
      </w:r>
      <w:r w:rsidR="00877950">
        <w:br/>
      </w:r>
      <w:r w:rsidRPr="001E7AEB">
        <w:t>č. 351/2012 Z. z. o environmentálnom overovaní a registrácii organizácií v schéme Európskej únie pre environmentálne manažérstvo a audit a o zmene a doplnení niektorých zákonov alebo ISO 14001.</w:t>
      </w:r>
    </w:p>
    <w:p w:rsidR="002511D8" w:rsidRPr="000340F7" w:rsidRDefault="002511D8" w:rsidP="002511D8">
      <w:pPr>
        <w:ind w:left="360" w:hanging="360"/>
        <w:jc w:val="both"/>
        <w:rPr>
          <w:rFonts w:cs="Arial"/>
          <w:szCs w:val="20"/>
          <w:highlight w:val="green"/>
        </w:rPr>
      </w:pPr>
    </w:p>
    <w:p w:rsidR="002511D8" w:rsidRDefault="002511D8" w:rsidP="00877950">
      <w:pPr>
        <w:pStyle w:val="odstavecprvy"/>
        <w:numPr>
          <w:ilvl w:val="1"/>
          <w:numId w:val="4"/>
        </w:numPr>
        <w:spacing w:line="240" w:lineRule="auto"/>
        <w:ind w:left="425" w:hanging="425"/>
        <w:rPr>
          <w:color w:val="auto"/>
        </w:rPr>
      </w:pPr>
      <w:r w:rsidRPr="004A2FC1">
        <w:rPr>
          <w:color w:val="auto"/>
        </w:rPr>
        <w:t xml:space="preserve">Splnenie špecifických požiadaviek podľa bodu 4.1, 4.2 a 4.3 žiadateľ </w:t>
      </w:r>
      <w:r>
        <w:rPr>
          <w:color w:val="auto"/>
        </w:rPr>
        <w:t>preukazuje</w:t>
      </w:r>
      <w:r w:rsidRPr="004A2FC1">
        <w:rPr>
          <w:color w:val="auto"/>
        </w:rPr>
        <w:t xml:space="preserve"> </w:t>
      </w:r>
      <w:r w:rsidRPr="004A2FC1">
        <w:rPr>
          <w:color w:val="auto"/>
        </w:rPr>
        <w:t>protokolmi o skúškach vydanými alebo potvrdenými autorizovanou alebo akreditovanou osobou.</w:t>
      </w:r>
      <w:r>
        <w:rPr>
          <w:color w:val="auto"/>
        </w:rPr>
        <w:t xml:space="preserve"> </w:t>
      </w:r>
      <w:r w:rsidRPr="004C2D5D">
        <w:rPr>
          <w:color w:val="auto"/>
        </w:rPr>
        <w:t xml:space="preserve">Prednostne sa uznávajú skúšky, ktoré sú akreditované podľa </w:t>
      </w:r>
      <w:r w:rsidRPr="004E6FD2">
        <w:rPr>
          <w:rFonts w:eastAsia="Verdana"/>
          <w:color w:val="auto"/>
        </w:rPr>
        <w:t>EN ISO/IEC 17025:</w:t>
      </w:r>
      <w:r>
        <w:rPr>
          <w:rFonts w:eastAsia="Verdana"/>
          <w:color w:val="auto"/>
        </w:rPr>
        <w:t xml:space="preserve"> </w:t>
      </w:r>
      <w:r w:rsidRPr="004E6FD2">
        <w:rPr>
          <w:rFonts w:eastAsia="Verdana"/>
          <w:color w:val="auto"/>
        </w:rPr>
        <w:t>2018</w:t>
      </w:r>
      <w:r>
        <w:rPr>
          <w:rFonts w:ascii="Verdana" w:eastAsia="Verdana" w:hAnsi="Verdana" w:cs="Verdana"/>
          <w:sz w:val="18"/>
        </w:rPr>
        <w:t xml:space="preserve"> </w:t>
      </w:r>
      <w:r w:rsidRPr="004C2D5D">
        <w:rPr>
          <w:color w:val="auto"/>
        </w:rPr>
        <w:t>alebo ekvivalentnej medzinárodnej normy.</w:t>
      </w:r>
    </w:p>
    <w:p w:rsidR="00877950" w:rsidRDefault="00877950" w:rsidP="00877950">
      <w:pPr>
        <w:pStyle w:val="odstavecprvy"/>
        <w:spacing w:line="240" w:lineRule="auto"/>
        <w:ind w:left="425"/>
        <w:rPr>
          <w:color w:val="auto"/>
        </w:rPr>
      </w:pPr>
    </w:p>
    <w:p w:rsidR="002511D8" w:rsidRPr="004C2D5D" w:rsidRDefault="002511D8" w:rsidP="00877950">
      <w:pPr>
        <w:pStyle w:val="odstavecprvy"/>
        <w:numPr>
          <w:ilvl w:val="1"/>
          <w:numId w:val="4"/>
        </w:numPr>
        <w:spacing w:line="240" w:lineRule="auto"/>
        <w:ind w:left="357" w:hanging="357"/>
        <w:rPr>
          <w:color w:val="auto"/>
        </w:rPr>
      </w:pPr>
      <w:r w:rsidRPr="004A2FC1">
        <w:rPr>
          <w:color w:val="auto"/>
        </w:rPr>
        <w:t xml:space="preserve">Splnenie špecifickej požiadavky podľa bodu  4.4 žiadateľ </w:t>
      </w:r>
      <w:r>
        <w:rPr>
          <w:color w:val="auto"/>
        </w:rPr>
        <w:t>preukazuje</w:t>
      </w:r>
      <w:r w:rsidRPr="004A2FC1">
        <w:rPr>
          <w:color w:val="auto"/>
        </w:rPr>
        <w:t xml:space="preserve"> </w:t>
      </w:r>
      <w:r w:rsidRPr="004A2FC1">
        <w:rPr>
          <w:color w:val="auto"/>
        </w:rPr>
        <w:t>vyhlásením</w:t>
      </w:r>
      <w:r>
        <w:rPr>
          <w:color w:val="auto"/>
        </w:rPr>
        <w:t xml:space="preserve"> o zhode</w:t>
      </w:r>
      <w:r w:rsidRPr="004A2FC1">
        <w:rPr>
          <w:color w:val="auto"/>
        </w:rPr>
        <w:t xml:space="preserve"> a príslušnou dokumentáciou k</w:t>
      </w:r>
      <w:r>
        <w:rPr>
          <w:color w:val="auto"/>
        </w:rPr>
        <w:t> </w:t>
      </w:r>
      <w:r w:rsidRPr="004A2FC1">
        <w:rPr>
          <w:color w:val="auto"/>
        </w:rPr>
        <w:t>produktu</w:t>
      </w:r>
      <w:r>
        <w:rPr>
          <w:color w:val="auto"/>
        </w:rPr>
        <w:t>.</w:t>
      </w:r>
    </w:p>
    <w:p w:rsidR="002511D8" w:rsidRDefault="002511D8" w:rsidP="002511D8">
      <w:pPr>
        <w:rPr>
          <w:rFonts w:cs="Arial"/>
          <w:b/>
          <w:highlight w:val="green"/>
        </w:rPr>
      </w:pPr>
    </w:p>
    <w:p w:rsidR="002511D8" w:rsidRPr="000340F7" w:rsidRDefault="002511D8" w:rsidP="002511D8">
      <w:pPr>
        <w:rPr>
          <w:rFonts w:cs="Arial"/>
          <w:b/>
          <w:highlight w:val="green"/>
        </w:rPr>
      </w:pPr>
    </w:p>
    <w:p w:rsidR="002511D8" w:rsidRDefault="002511D8" w:rsidP="002511D8">
      <w:pPr>
        <w:rPr>
          <w:rFonts w:cs="Arial"/>
          <w:b/>
        </w:rPr>
      </w:pPr>
      <w:r w:rsidRPr="001E7AEB">
        <w:rPr>
          <w:rFonts w:cs="Arial"/>
          <w:b/>
        </w:rPr>
        <w:t xml:space="preserve">6. Platnosť oznámenia </w:t>
      </w:r>
    </w:p>
    <w:p w:rsidR="00877950" w:rsidRPr="001E7AEB" w:rsidRDefault="00877950" w:rsidP="002511D8">
      <w:pPr>
        <w:rPr>
          <w:rFonts w:cs="Arial"/>
          <w:b/>
        </w:rPr>
      </w:pPr>
    </w:p>
    <w:p w:rsidR="002511D8" w:rsidRPr="001E7AEB" w:rsidRDefault="002511D8" w:rsidP="00877950">
      <w:pPr>
        <w:pStyle w:val="Zkladntext"/>
        <w:widowControl/>
        <w:jc w:val="both"/>
        <w:rPr>
          <w:rFonts w:cs="Arial"/>
        </w:rPr>
      </w:pPr>
      <w:r w:rsidRPr="001E7AEB">
        <w:rPr>
          <w:rFonts w:cs="Arial"/>
        </w:rPr>
        <w:t xml:space="preserve">Oznámenie o osobitných podmienkach </w:t>
      </w:r>
      <w:r w:rsidR="00F44FA7">
        <w:rPr>
          <w:rFonts w:cs="Arial"/>
        </w:rPr>
        <w:t xml:space="preserve">na udelenie národnej environmentálnej </w:t>
      </w:r>
      <w:r w:rsidR="009B701C">
        <w:rPr>
          <w:rFonts w:cs="Arial"/>
        </w:rPr>
        <w:t xml:space="preserve">značky </w:t>
      </w:r>
      <w:r w:rsidRPr="001E7AEB">
        <w:rPr>
          <w:rFonts w:cs="Arial"/>
        </w:rPr>
        <w:t xml:space="preserve">nadobúda účinnosť dňom schválenia ministrom životného prostredia a má platnosť 3 roky od jeho schválenia. Jeho platnosť môže byť predĺžená na ďalšie obdobie po </w:t>
      </w:r>
      <w:r w:rsidRPr="00014A29">
        <w:rPr>
          <w:rFonts w:cs="Arial"/>
        </w:rPr>
        <w:t>odbornom</w:t>
      </w:r>
      <w:r>
        <w:rPr>
          <w:rFonts w:cs="Arial"/>
        </w:rPr>
        <w:t xml:space="preserve"> </w:t>
      </w:r>
      <w:r w:rsidRPr="001E7AEB">
        <w:rPr>
          <w:rFonts w:cs="Arial"/>
        </w:rPr>
        <w:t>posúdení platnosti špecifických požiadaviek na udeľovanie národnej environmentálnej značky, ako aj požiadaviek na posudzovanie ich zhody vzhľadom na rozvoj vedeckých poznatkov a vývoj na trhu a po odbornom posúdení prípadných zmien všeobecne záväzných právnych predpisov alebo technológií výroby.</w:t>
      </w:r>
    </w:p>
    <w:p w:rsidR="002511D8" w:rsidRPr="001E7AEB" w:rsidRDefault="002511D8" w:rsidP="002511D8">
      <w:pPr>
        <w:rPr>
          <w:rFonts w:cs="Arial"/>
        </w:rPr>
      </w:pPr>
    </w:p>
    <w:p w:rsidR="002511D8" w:rsidRDefault="002511D8" w:rsidP="002511D8"/>
    <w:p w:rsidR="002511D8" w:rsidRDefault="002511D8" w:rsidP="002511D8"/>
    <w:p w:rsidR="002511D8" w:rsidRDefault="002511D8" w:rsidP="002511D8"/>
    <w:p w:rsidR="002511D8" w:rsidRDefault="002511D8" w:rsidP="002511D8"/>
    <w:p w:rsidR="002511D8" w:rsidRPr="000169A8" w:rsidRDefault="002511D8" w:rsidP="002511D8">
      <w:r>
        <w:t>v </w:t>
      </w:r>
      <w:r w:rsidRPr="00014A29">
        <w:t>Bratislave, 2021</w:t>
      </w:r>
      <w:r w:rsidRPr="000169A8">
        <w:t xml:space="preserve">                               </w:t>
      </w:r>
    </w:p>
    <w:p w:rsidR="002511D8" w:rsidRPr="000169A8" w:rsidRDefault="002511D8" w:rsidP="002511D8"/>
    <w:p w:rsidR="002511D8" w:rsidRDefault="002511D8" w:rsidP="002511D8">
      <w:pPr>
        <w:jc w:val="both"/>
        <w:rPr>
          <w:b/>
        </w:rPr>
      </w:pPr>
    </w:p>
    <w:p w:rsidR="002511D8" w:rsidRDefault="002511D8" w:rsidP="002511D8">
      <w:pPr>
        <w:jc w:val="both"/>
        <w:rPr>
          <w:b/>
        </w:rPr>
      </w:pPr>
    </w:p>
    <w:p w:rsidR="002511D8" w:rsidRDefault="002511D8" w:rsidP="002511D8">
      <w:pPr>
        <w:jc w:val="both"/>
        <w:rPr>
          <w:b/>
        </w:rPr>
      </w:pPr>
    </w:p>
    <w:p w:rsidR="002511D8" w:rsidRDefault="002511D8" w:rsidP="002511D8">
      <w:pPr>
        <w:pStyle w:val="Zkladntext"/>
        <w:widowControl/>
        <w:jc w:val="both"/>
      </w:pPr>
    </w:p>
    <w:p w:rsidR="002511D8" w:rsidRPr="006E2831" w:rsidRDefault="002511D8" w:rsidP="002511D8">
      <w:pPr>
        <w:pStyle w:val="Zkladntext"/>
        <w:spacing w:before="120"/>
        <w:rPr>
          <w:b/>
          <w:bCs/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E2831">
        <w:rPr>
          <w:b/>
          <w:bCs/>
          <w:szCs w:val="24"/>
        </w:rPr>
        <w:t xml:space="preserve">             Ján Budaj </w:t>
      </w:r>
    </w:p>
    <w:p w:rsidR="002511D8" w:rsidRDefault="002511D8" w:rsidP="002511D8">
      <w:pPr>
        <w:ind w:left="2124" w:firstLine="936"/>
        <w:jc w:val="right"/>
      </w:pPr>
      <w:r>
        <w:t xml:space="preserve">minister životného prostredia                   </w:t>
      </w:r>
    </w:p>
    <w:p w:rsidR="002511D8" w:rsidRPr="004A600C" w:rsidRDefault="002511D8" w:rsidP="002511D8">
      <w:pPr>
        <w:ind w:left="2124" w:firstLine="1296"/>
        <w:jc w:val="center"/>
      </w:pPr>
      <w:r>
        <w:t xml:space="preserve">                                               Slovenskej republiky</w:t>
      </w:r>
    </w:p>
    <w:p w:rsidR="002511D8" w:rsidRDefault="002511D8" w:rsidP="002511D8">
      <w:pPr>
        <w:pStyle w:val="Zkladntext"/>
        <w:rPr>
          <w:rFonts w:ascii="Arial" w:hAnsi="Arial" w:cs="Arial"/>
          <w:sz w:val="20"/>
        </w:rPr>
      </w:pPr>
    </w:p>
    <w:p w:rsidR="002511D8" w:rsidRDefault="002511D8" w:rsidP="002511D8">
      <w:pPr>
        <w:pStyle w:val="Zkladntext"/>
        <w:rPr>
          <w:rFonts w:ascii="Arial" w:hAnsi="Arial" w:cs="Arial"/>
          <w:sz w:val="20"/>
        </w:rPr>
      </w:pPr>
    </w:p>
    <w:p w:rsidR="002511D8" w:rsidRDefault="002511D8" w:rsidP="002511D8">
      <w:pPr>
        <w:pStyle w:val="Zkladntext"/>
        <w:rPr>
          <w:rFonts w:ascii="Arial" w:hAnsi="Arial" w:cs="Arial"/>
          <w:sz w:val="20"/>
        </w:rPr>
      </w:pPr>
    </w:p>
    <w:p w:rsidR="002511D8" w:rsidRDefault="002511D8" w:rsidP="002511D8">
      <w:pPr>
        <w:pStyle w:val="Zkladntext"/>
        <w:rPr>
          <w:rFonts w:ascii="Arial" w:hAnsi="Arial" w:cs="Arial"/>
          <w:sz w:val="20"/>
        </w:rPr>
      </w:pPr>
    </w:p>
    <w:p w:rsidR="002511D8" w:rsidRDefault="002511D8" w:rsidP="002511D8">
      <w:pPr>
        <w:jc w:val="both"/>
        <w:outlineLvl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511D8" w:rsidRDefault="002511D8" w:rsidP="002511D8">
      <w:pPr>
        <w:jc w:val="both"/>
        <w:outlineLvl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511D8" w:rsidRDefault="002511D8" w:rsidP="002511D8">
      <w:pPr>
        <w:jc w:val="both"/>
        <w:outlineLvl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511D8" w:rsidRDefault="002511D8" w:rsidP="002511D8">
      <w:pPr>
        <w:jc w:val="both"/>
        <w:outlineLvl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511D8" w:rsidRDefault="002511D8" w:rsidP="002511D8">
      <w:pPr>
        <w:jc w:val="both"/>
        <w:outlineLvl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511D8" w:rsidRDefault="002511D8" w:rsidP="002511D8">
      <w:pPr>
        <w:jc w:val="both"/>
        <w:outlineLvl w:val="0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511D8" w:rsidRDefault="002511D8" w:rsidP="002511D8">
      <w:pPr>
        <w:jc w:val="both"/>
        <w:outlineLvl w:val="0"/>
        <w:rPr>
          <w:b/>
        </w:rPr>
      </w:pPr>
      <w:r w:rsidRPr="001E7AEB">
        <w:rPr>
          <w:b/>
        </w:rPr>
        <w:lastRenderedPageBreak/>
        <w:t>Citované normy</w:t>
      </w:r>
    </w:p>
    <w:p w:rsidR="002511D8" w:rsidRPr="009B701C" w:rsidRDefault="002511D8" w:rsidP="002511D8">
      <w:pPr>
        <w:jc w:val="both"/>
        <w:outlineLvl w:val="0"/>
        <w:rPr>
          <w:highlight w:val="green"/>
        </w:rPr>
      </w:pPr>
    </w:p>
    <w:p w:rsidR="002511D8" w:rsidRDefault="002511D8" w:rsidP="002511D8">
      <w:pPr>
        <w:jc w:val="both"/>
      </w:pPr>
      <w:r w:rsidRPr="001E7AEB">
        <w:rPr>
          <w:b/>
        </w:rPr>
        <w:t>STN EN 303-5: 2012</w:t>
      </w:r>
      <w:r>
        <w:t xml:space="preserve"> Vykurovacie kotly. Časť 5: Vykurovacie kotly na tuhé palivá s ručným a automatickým prikladaním paliva s menovitým výkonom do 500 kW. Terminológia, požiadavky, skúšanie a označovanie (07 0251)</w:t>
      </w:r>
    </w:p>
    <w:p w:rsidR="002511D8" w:rsidRDefault="002511D8" w:rsidP="002511D8">
      <w:pPr>
        <w:jc w:val="both"/>
      </w:pPr>
    </w:p>
    <w:p w:rsidR="002511D8" w:rsidRDefault="002511D8" w:rsidP="009B701C">
      <w:pPr>
        <w:tabs>
          <w:tab w:val="left" w:pos="360"/>
        </w:tabs>
        <w:jc w:val="both"/>
      </w:pPr>
      <w:r w:rsidRPr="001E7AEB">
        <w:rPr>
          <w:b/>
        </w:rPr>
        <w:t>STN EN 14785: 2006</w:t>
      </w:r>
      <w:r w:rsidRPr="004A2FC1">
        <w:t> Spotrebiče na vykurovanie obytných priestorov na drevené pelet</w:t>
      </w:r>
      <w:r>
        <w:t>y. Požiadavky a skúšobné metódy (06 1207)</w:t>
      </w:r>
    </w:p>
    <w:p w:rsidR="009B701C" w:rsidRDefault="009B701C" w:rsidP="009B701C">
      <w:pPr>
        <w:tabs>
          <w:tab w:val="left" w:pos="360"/>
        </w:tabs>
        <w:jc w:val="both"/>
      </w:pPr>
    </w:p>
    <w:p w:rsidR="002511D8" w:rsidRDefault="002511D8" w:rsidP="009B701C">
      <w:pPr>
        <w:tabs>
          <w:tab w:val="left" w:pos="360"/>
        </w:tabs>
        <w:jc w:val="both"/>
        <w:rPr>
          <w:color w:val="000000"/>
        </w:rPr>
      </w:pPr>
      <w:r w:rsidRPr="001E7AEB">
        <w:rPr>
          <w:b/>
          <w:color w:val="000000"/>
        </w:rPr>
        <w:t xml:space="preserve">STN EN </w:t>
      </w:r>
      <w:r w:rsidRPr="001E7AEB">
        <w:rPr>
          <w:rStyle w:val="Zvraznenie"/>
          <w:b/>
          <w:i w:val="0"/>
          <w:color w:val="000000"/>
        </w:rPr>
        <w:t xml:space="preserve">15250: 2012 </w:t>
      </w:r>
      <w:r w:rsidRPr="004A2FC1">
        <w:rPr>
          <w:color w:val="000000"/>
        </w:rPr>
        <w:t xml:space="preserve">Akumulačné </w:t>
      </w:r>
      <w:r>
        <w:rPr>
          <w:color w:val="000000"/>
        </w:rPr>
        <w:t>zariadenia</w:t>
      </w:r>
      <w:r w:rsidRPr="004A2FC1">
        <w:rPr>
          <w:color w:val="000000"/>
        </w:rPr>
        <w:t xml:space="preserve"> na pevné paliv</w:t>
      </w:r>
      <w:r>
        <w:rPr>
          <w:color w:val="000000"/>
        </w:rPr>
        <w:t>á</w:t>
      </w:r>
      <w:r w:rsidRPr="004A2FC1">
        <w:rPr>
          <w:color w:val="000000"/>
        </w:rPr>
        <w:t>. Požiadavky a skúšobné metódy</w:t>
      </w:r>
      <w:r>
        <w:rPr>
          <w:color w:val="000000"/>
        </w:rPr>
        <w:t xml:space="preserve"> (06 1208)</w:t>
      </w:r>
    </w:p>
    <w:p w:rsidR="009B701C" w:rsidRDefault="009B701C" w:rsidP="009B701C">
      <w:pPr>
        <w:tabs>
          <w:tab w:val="left" w:pos="360"/>
        </w:tabs>
        <w:jc w:val="both"/>
        <w:rPr>
          <w:color w:val="000000"/>
        </w:rPr>
      </w:pPr>
    </w:p>
    <w:p w:rsidR="002511D8" w:rsidRDefault="002511D8" w:rsidP="009B701C">
      <w:pPr>
        <w:tabs>
          <w:tab w:val="left" w:pos="360"/>
        </w:tabs>
        <w:jc w:val="both"/>
      </w:pPr>
      <w:r w:rsidRPr="00E11474">
        <w:rPr>
          <w:b/>
          <w:bCs/>
        </w:rPr>
        <w:t>STN EN 16510-1: 2019</w:t>
      </w:r>
      <w:r w:rsidRPr="00F53BAC">
        <w:rPr>
          <w:color w:val="007AFF"/>
        </w:rPr>
        <w:t xml:space="preserve"> </w:t>
      </w:r>
      <w:r w:rsidRPr="00F53BAC">
        <w:rPr>
          <w:color w:val="333333"/>
          <w:shd w:val="clear" w:color="auto" w:fill="FFFFFF"/>
        </w:rPr>
        <w:t>Bytové spotrebiče na tuhé palivo. Časť 1: Všeobecné požiadavky a skúšobné metódy</w:t>
      </w:r>
      <w:r w:rsidRPr="00F53BAC">
        <w:rPr>
          <w:color w:val="007AFF"/>
        </w:rPr>
        <w:t xml:space="preserve"> </w:t>
      </w:r>
      <w:r w:rsidRPr="00E11474">
        <w:t>(061241)</w:t>
      </w:r>
    </w:p>
    <w:p w:rsidR="009B701C" w:rsidRDefault="009B701C" w:rsidP="009B701C">
      <w:pPr>
        <w:tabs>
          <w:tab w:val="left" w:pos="360"/>
        </w:tabs>
        <w:jc w:val="both"/>
      </w:pPr>
    </w:p>
    <w:p w:rsidR="002523AB" w:rsidRPr="009B701C" w:rsidRDefault="002523AB" w:rsidP="009B701C">
      <w:pPr>
        <w:tabs>
          <w:tab w:val="left" w:pos="360"/>
        </w:tabs>
        <w:jc w:val="both"/>
        <w:rPr>
          <w:b/>
          <w:color w:val="000000"/>
        </w:rPr>
      </w:pPr>
      <w:r w:rsidRPr="009B701C">
        <w:rPr>
          <w:b/>
        </w:rPr>
        <w:t>STN EN ISO 17225-1</w:t>
      </w:r>
      <w:r w:rsidR="009B701C">
        <w:rPr>
          <w:b/>
        </w:rPr>
        <w:t xml:space="preserve">: 2014 </w:t>
      </w:r>
      <w:r w:rsidR="009B701C">
        <w:rPr>
          <w:rStyle w:val="formtext"/>
        </w:rPr>
        <w:t xml:space="preserve">Tuhé biopalivá. Špecifikácie a triedy palív. Časť 1: Všeobecné požiadavky </w:t>
      </w:r>
      <w:r w:rsidR="009B701C" w:rsidRPr="009B701C">
        <w:rPr>
          <w:bCs/>
        </w:rPr>
        <w:t>(65 7403)</w:t>
      </w:r>
    </w:p>
    <w:p w:rsidR="002511D8" w:rsidRDefault="002511D8" w:rsidP="002511D8">
      <w:pPr>
        <w:tabs>
          <w:tab w:val="left" w:pos="360"/>
        </w:tabs>
        <w:spacing w:after="120"/>
        <w:jc w:val="both"/>
        <w:rPr>
          <w:color w:val="FF0000"/>
        </w:rPr>
      </w:pPr>
    </w:p>
    <w:p w:rsidR="002511D8" w:rsidRDefault="002511D8" w:rsidP="002511D8">
      <w:pPr>
        <w:jc w:val="both"/>
        <w:rPr>
          <w:color w:val="FF0000"/>
        </w:rPr>
      </w:pPr>
    </w:p>
    <w:p w:rsidR="002511D8" w:rsidRDefault="002511D8" w:rsidP="002511D8">
      <w:pPr>
        <w:jc w:val="both"/>
        <w:rPr>
          <w:color w:val="FF0000"/>
        </w:rPr>
      </w:pPr>
    </w:p>
    <w:p w:rsidR="002511D8" w:rsidRDefault="002511D8" w:rsidP="002511D8">
      <w:pPr>
        <w:jc w:val="both"/>
      </w:pPr>
    </w:p>
    <w:p w:rsidR="002511D8" w:rsidRDefault="002511D8" w:rsidP="002511D8">
      <w:pPr>
        <w:jc w:val="both"/>
      </w:pPr>
    </w:p>
    <w:p w:rsidR="002511D8" w:rsidRDefault="002511D8" w:rsidP="002511D8">
      <w:pPr>
        <w:widowControl w:val="0"/>
      </w:pPr>
    </w:p>
    <w:p w:rsidR="002511D8" w:rsidRDefault="002511D8" w:rsidP="002511D8">
      <w:pPr>
        <w:pStyle w:val="odstavecprvy"/>
        <w:spacing w:line="240" w:lineRule="auto"/>
        <w:rPr>
          <w:color w:val="auto"/>
        </w:rPr>
      </w:pPr>
    </w:p>
    <w:p w:rsidR="002511D8" w:rsidRDefault="002511D8" w:rsidP="002511D8">
      <w:pPr>
        <w:pStyle w:val="odstavecprvy"/>
        <w:spacing w:line="240" w:lineRule="auto"/>
        <w:rPr>
          <w:color w:val="auto"/>
        </w:rPr>
      </w:pPr>
    </w:p>
    <w:p w:rsidR="002511D8" w:rsidRDefault="002511D8" w:rsidP="002511D8">
      <w:pPr>
        <w:pStyle w:val="odstavecprvy"/>
        <w:spacing w:line="240" w:lineRule="auto"/>
        <w:rPr>
          <w:color w:val="auto"/>
        </w:rPr>
      </w:pPr>
    </w:p>
    <w:p w:rsidR="002511D8" w:rsidRDefault="002511D8" w:rsidP="002511D8">
      <w:pPr>
        <w:pStyle w:val="Zkladntext"/>
        <w:rPr>
          <w:szCs w:val="24"/>
        </w:rPr>
      </w:pPr>
    </w:p>
    <w:p w:rsidR="002511D8" w:rsidRDefault="002511D8" w:rsidP="002511D8">
      <w:pPr>
        <w:jc w:val="both"/>
        <w:rPr>
          <w:b/>
        </w:rPr>
      </w:pPr>
    </w:p>
    <w:p w:rsidR="002511D8" w:rsidRDefault="002511D8" w:rsidP="002511D8">
      <w:pPr>
        <w:jc w:val="both"/>
        <w:rPr>
          <w:b/>
        </w:rPr>
      </w:pPr>
    </w:p>
    <w:p w:rsidR="002511D8" w:rsidRDefault="002511D8" w:rsidP="002511D8"/>
    <w:p w:rsidR="002511D8" w:rsidRDefault="002511D8" w:rsidP="002511D8">
      <w:pPr>
        <w:pStyle w:val="Zkladntext"/>
        <w:widowControl/>
        <w:spacing w:before="120"/>
        <w:rPr>
          <w:szCs w:val="24"/>
        </w:rPr>
      </w:pPr>
    </w:p>
    <w:p w:rsidR="002511D8" w:rsidRDefault="002511D8" w:rsidP="002511D8">
      <w:pPr>
        <w:pStyle w:val="Zkladntext"/>
        <w:widowControl/>
        <w:spacing w:before="120"/>
        <w:rPr>
          <w:szCs w:val="24"/>
        </w:rPr>
      </w:pPr>
    </w:p>
    <w:p w:rsidR="002511D8" w:rsidRDefault="002511D8" w:rsidP="002511D8">
      <w:pPr>
        <w:pStyle w:val="Zkladntext"/>
        <w:widowControl/>
        <w:rPr>
          <w:szCs w:val="24"/>
        </w:rPr>
      </w:pPr>
    </w:p>
    <w:p w:rsidR="00F93956" w:rsidRDefault="005F473A"/>
    <w:sectPr w:rsidR="00F93956" w:rsidSect="00837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8D7"/>
    <w:multiLevelType w:val="multilevel"/>
    <w:tmpl w:val="929E51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1377B3"/>
    <w:multiLevelType w:val="hybridMultilevel"/>
    <w:tmpl w:val="56160E4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441C"/>
    <w:multiLevelType w:val="multilevel"/>
    <w:tmpl w:val="1FB272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0F05ED"/>
    <w:multiLevelType w:val="hybridMultilevel"/>
    <w:tmpl w:val="0956916C"/>
    <w:lvl w:ilvl="0" w:tplc="AA7C049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0A3365"/>
    <w:multiLevelType w:val="hybridMultilevel"/>
    <w:tmpl w:val="E270A2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6FAB"/>
    <w:multiLevelType w:val="hybridMultilevel"/>
    <w:tmpl w:val="2E6C3B34"/>
    <w:lvl w:ilvl="0" w:tplc="041B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B7854"/>
    <w:multiLevelType w:val="hybridMultilevel"/>
    <w:tmpl w:val="1F402D0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82A4B"/>
    <w:multiLevelType w:val="hybridMultilevel"/>
    <w:tmpl w:val="F058F1B4"/>
    <w:lvl w:ilvl="0" w:tplc="AAD411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95302"/>
    <w:multiLevelType w:val="hybridMultilevel"/>
    <w:tmpl w:val="51A207D6"/>
    <w:lvl w:ilvl="0" w:tplc="AA7C04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8"/>
    <w:rsid w:val="000652D2"/>
    <w:rsid w:val="002511D8"/>
    <w:rsid w:val="002523AB"/>
    <w:rsid w:val="002962A8"/>
    <w:rsid w:val="003402C0"/>
    <w:rsid w:val="0050721F"/>
    <w:rsid w:val="00515157"/>
    <w:rsid w:val="005F473A"/>
    <w:rsid w:val="007666FC"/>
    <w:rsid w:val="00810C9C"/>
    <w:rsid w:val="00837164"/>
    <w:rsid w:val="00877950"/>
    <w:rsid w:val="00974963"/>
    <w:rsid w:val="009B701C"/>
    <w:rsid w:val="00A8517C"/>
    <w:rsid w:val="00D86AF1"/>
    <w:rsid w:val="00F44FA7"/>
    <w:rsid w:val="00F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ACDA"/>
  <w15:chartTrackingRefBased/>
  <w15:docId w15:val="{DC674CEC-C77F-437B-87B9-4DD4736E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1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511D8"/>
    <w:pPr>
      <w:widowControl w:val="0"/>
    </w:pPr>
    <w:rPr>
      <w:color w:val="00000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511D8"/>
    <w:rPr>
      <w:rFonts w:ascii="Times New Roman" w:eastAsia="Calibri" w:hAnsi="Times New Roman" w:cs="Times New Roman"/>
      <w:color w:val="000000"/>
      <w:sz w:val="24"/>
      <w:szCs w:val="20"/>
      <w:lang w:eastAsia="cs-CZ"/>
    </w:rPr>
  </w:style>
  <w:style w:type="character" w:styleId="Siln">
    <w:name w:val="Strong"/>
    <w:qFormat/>
    <w:rsid w:val="002511D8"/>
    <w:rPr>
      <w:b/>
    </w:rPr>
  </w:style>
  <w:style w:type="paragraph" w:styleId="Zkladntext2">
    <w:name w:val="Body Text 2"/>
    <w:basedOn w:val="Normlny"/>
    <w:link w:val="Zkladntext2Char"/>
    <w:rsid w:val="002511D8"/>
    <w:pPr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2511D8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odstavecprvy">
    <w:name w:val="odstavec prvy"/>
    <w:basedOn w:val="Normlny"/>
    <w:rsid w:val="002511D8"/>
    <w:pPr>
      <w:spacing w:line="360" w:lineRule="auto"/>
      <w:jc w:val="both"/>
    </w:pPr>
    <w:rPr>
      <w:color w:val="000080"/>
    </w:rPr>
  </w:style>
  <w:style w:type="paragraph" w:styleId="Zkladntext3">
    <w:name w:val="Body Text 3"/>
    <w:basedOn w:val="Normlny"/>
    <w:link w:val="Zkladntext3Char"/>
    <w:rsid w:val="002511D8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2511D8"/>
    <w:rPr>
      <w:rFonts w:ascii="Times New Roman" w:eastAsia="Calibri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2511D8"/>
    <w:pPr>
      <w:ind w:left="708"/>
    </w:pPr>
    <w:rPr>
      <w:rFonts w:eastAsia="Times New Roman"/>
    </w:rPr>
  </w:style>
  <w:style w:type="paragraph" w:customStyle="1" w:styleId="Default">
    <w:name w:val="Default"/>
    <w:rsid w:val="002511D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cs-CZ" w:eastAsia="ko-KR"/>
    </w:rPr>
  </w:style>
  <w:style w:type="character" w:styleId="Zvraznenie">
    <w:name w:val="Emphasis"/>
    <w:qFormat/>
    <w:rsid w:val="002511D8"/>
    <w:rPr>
      <w:i/>
      <w:iCs/>
    </w:rPr>
  </w:style>
  <w:style w:type="paragraph" w:customStyle="1" w:styleId="text">
    <w:name w:val="text"/>
    <w:basedOn w:val="Normlny"/>
    <w:link w:val="textChar"/>
    <w:rsid w:val="002511D8"/>
    <w:pPr>
      <w:spacing w:before="100" w:beforeAutospacing="1" w:after="100" w:afterAutospacing="1"/>
    </w:pPr>
    <w:rPr>
      <w:rFonts w:eastAsia="Times New Roman"/>
    </w:rPr>
  </w:style>
  <w:style w:type="character" w:customStyle="1" w:styleId="textChar">
    <w:name w:val="text Char"/>
    <w:link w:val="text"/>
    <w:rsid w:val="002511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obt">
    <w:name w:val="textobt"/>
    <w:basedOn w:val="Normlny"/>
    <w:link w:val="textobtChar"/>
    <w:rsid w:val="002511D8"/>
    <w:pPr>
      <w:tabs>
        <w:tab w:val="left" w:pos="0"/>
        <w:tab w:val="left" w:pos="1560"/>
        <w:tab w:val="left" w:pos="4253"/>
        <w:tab w:val="left" w:pos="6237"/>
      </w:tabs>
      <w:spacing w:before="60" w:after="60"/>
    </w:pPr>
    <w:rPr>
      <w:rFonts w:eastAsia="Batang"/>
      <w:bCs/>
      <w:i/>
      <w:sz w:val="20"/>
      <w:szCs w:val="20"/>
      <w:lang w:eastAsia="cs-CZ"/>
    </w:rPr>
  </w:style>
  <w:style w:type="character" w:customStyle="1" w:styleId="textobtChar">
    <w:name w:val="textobt Char"/>
    <w:link w:val="textobt"/>
    <w:locked/>
    <w:rsid w:val="002511D8"/>
    <w:rPr>
      <w:rFonts w:ascii="Times New Roman" w:eastAsia="Batang" w:hAnsi="Times New Roman" w:cs="Times New Roman"/>
      <w:bCs/>
      <w:i/>
      <w:sz w:val="20"/>
      <w:szCs w:val="20"/>
      <w:lang w:eastAsia="cs-CZ"/>
    </w:rPr>
  </w:style>
  <w:style w:type="character" w:customStyle="1" w:styleId="superscript">
    <w:name w:val="superscript"/>
    <w:rsid w:val="002511D8"/>
  </w:style>
  <w:style w:type="character" w:customStyle="1" w:styleId="formtext">
    <w:name w:val="formtext"/>
    <w:basedOn w:val="Predvolenpsmoodseku"/>
    <w:rsid w:val="009B701C"/>
  </w:style>
  <w:style w:type="character" w:styleId="Hypertextovprepojenie">
    <w:name w:val="Hyperlink"/>
    <w:basedOn w:val="Predvolenpsmoodseku"/>
    <w:uiPriority w:val="99"/>
    <w:semiHidden/>
    <w:unhideWhenUsed/>
    <w:rsid w:val="009B7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Badurova</dc:creator>
  <cp:keywords/>
  <dc:description/>
  <cp:lastModifiedBy>Darina Badurova</cp:lastModifiedBy>
  <cp:revision>9</cp:revision>
  <dcterms:created xsi:type="dcterms:W3CDTF">2021-04-26T10:06:00Z</dcterms:created>
  <dcterms:modified xsi:type="dcterms:W3CDTF">2021-04-26T13:16:00Z</dcterms:modified>
</cp:coreProperties>
</file>